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787C">
      <w:pPr>
        <w:pStyle w:val="Ttulo1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RESOLUÇÃO PGE/MS/N.º 179, DE 05 DE JUNHO DE 2008.</w:t>
      </w:r>
    </w:p>
    <w:p w:rsidR="00000000" w:rsidRDefault="00BD787C">
      <w:pPr>
        <w:pStyle w:val="Identificao"/>
        <w:ind w:left="4140"/>
        <w:rPr>
          <w:rFonts w:ascii="Verdana" w:hAnsi="Verdana" w:cs="Verdana"/>
          <w:i/>
          <w:iCs/>
          <w:sz w:val="16"/>
          <w:szCs w:val="16"/>
        </w:rPr>
      </w:pPr>
    </w:p>
    <w:p w:rsidR="00000000" w:rsidRDefault="00BD787C">
      <w:pPr>
        <w:pStyle w:val="Identificao"/>
        <w:ind w:left="4140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Regulamenta os procedimentos relativos à informatização dos processos da Procuradoria-Geral do Estado - sistema PGE.Net.</w:t>
      </w:r>
    </w:p>
    <w:p w:rsidR="00000000" w:rsidRDefault="00BD787C">
      <w:pPr>
        <w:pStyle w:val="Corpodetexto"/>
        <w:ind w:firstLine="900"/>
        <w:rPr>
          <w:rFonts w:ascii="Verdana" w:hAnsi="Verdana" w:cs="Verdana"/>
          <w:sz w:val="16"/>
          <w:szCs w:val="16"/>
        </w:rPr>
      </w:pPr>
    </w:p>
    <w:p w:rsidR="00000000" w:rsidRDefault="00BD787C">
      <w:pPr>
        <w:pStyle w:val="Corpodetexto"/>
        <w:ind w:firstLine="54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O </w:t>
      </w:r>
      <w:r>
        <w:rPr>
          <w:rFonts w:ascii="Verdana" w:hAnsi="Verdana" w:cs="Verdana"/>
          <w:b/>
          <w:bCs/>
          <w:sz w:val="16"/>
          <w:szCs w:val="16"/>
        </w:rPr>
        <w:t>PROCURADOR-GERAL DO ESTADO DE MATO GROSSO DO SUL</w:t>
      </w:r>
      <w:r>
        <w:rPr>
          <w:rFonts w:ascii="Verdana" w:hAnsi="Verdana" w:cs="Verdana"/>
          <w:sz w:val="16"/>
          <w:szCs w:val="16"/>
        </w:rPr>
        <w:t>, no uso das atribuições conferidas pelo art. 8°, incisos I e XXIII, da Lei Compleme</w:t>
      </w:r>
      <w:r>
        <w:rPr>
          <w:rFonts w:ascii="Verdana" w:hAnsi="Verdana" w:cs="Verdana"/>
          <w:sz w:val="16"/>
          <w:szCs w:val="16"/>
        </w:rPr>
        <w:t>ntar n.º 95, de 26 de dezembro de 2001,</w:t>
      </w:r>
    </w:p>
    <w:p w:rsidR="00000000" w:rsidRDefault="00BD787C">
      <w:pPr>
        <w:autoSpaceDE w:val="0"/>
        <w:autoSpaceDN w:val="0"/>
        <w:adjustRightInd w:val="0"/>
        <w:ind w:firstLine="540"/>
        <w:rPr>
          <w:rFonts w:ascii="Verdana" w:hAnsi="Verdana" w:cs="Verdana"/>
          <w:color w:val="000000"/>
          <w:sz w:val="16"/>
          <w:szCs w:val="16"/>
        </w:rPr>
      </w:pPr>
    </w:p>
    <w:p w:rsidR="00000000" w:rsidRDefault="00BD787C">
      <w:pPr>
        <w:autoSpaceDE w:val="0"/>
        <w:autoSpaceDN w:val="0"/>
        <w:adjustRightInd w:val="0"/>
        <w:ind w:firstLine="540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RESOLVE:</w:t>
      </w:r>
    </w:p>
    <w:p w:rsidR="00000000" w:rsidRDefault="00BD787C">
      <w:pPr>
        <w:autoSpaceDE w:val="0"/>
        <w:autoSpaceDN w:val="0"/>
        <w:adjustRightInd w:val="0"/>
        <w:ind w:firstLine="540"/>
        <w:rPr>
          <w:rFonts w:ascii="Verdana" w:hAnsi="Verdana" w:cs="Verdana"/>
          <w:color w:val="000000"/>
          <w:sz w:val="16"/>
          <w:szCs w:val="16"/>
        </w:rPr>
      </w:pPr>
    </w:p>
    <w:p w:rsidR="00000000" w:rsidRDefault="00BD787C">
      <w:pPr>
        <w:pStyle w:val="Corpodetexto2"/>
        <w:ind w:left="0" w:firstLine="540"/>
      </w:pPr>
      <w:r>
        <w:t xml:space="preserve">Art. 1°. Fixar, nos termos desta resolução, os procedimentos que devem ser adotados pelos usuários (Procuradores do Estado, assessores, funcionários) e gestores (equipe do Cartório/PGE) do sistema PGE.Net </w:t>
      </w:r>
      <w:r>
        <w:t>para a informatização dos processos judiciais e administrativos de competência da Procuradoria-Geral do Estado.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Corpodetexto2"/>
        <w:ind w:left="0" w:firstLine="540"/>
      </w:pPr>
      <w:r>
        <w:t>Parágrafo único. As Procuradorias Especializadas que já foram inseridas no sistema PGE.Net devem observar tais procedimentos no tocante à infor</w:t>
      </w:r>
      <w:r>
        <w:t>matização de novos processos e alimentação dos já existentes.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Corpodetexto2"/>
        <w:ind w:left="0" w:firstLine="540"/>
      </w:pPr>
      <w:r>
        <w:t>Art. 2º. Incumbe ao Cartório/PGE a gestão e acompanhamento dos atos de implantação, manutenção, treinamento e alimentação do sistema PGE.Net, bem como adotar os seguintes princípios e tarefas: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Corpodetexto2"/>
        <w:ind w:left="0" w:firstLine="540"/>
      </w:pPr>
      <w:r>
        <w:t>I - inserir documentos (petições, decisões judiciais, acervos, anexos, publicações do DJ, dentre outros), de acordo com a ficha de encaminhamento respectiva ou de carimbo próprio indicativo do PGE.Net, através de cadastro, digitalização e revisão, no mesm</w:t>
      </w:r>
      <w:r>
        <w:t>o dia do recebimento;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Corpodetexto2"/>
        <w:ind w:left="0" w:firstLine="540"/>
      </w:pPr>
      <w:r>
        <w:t>II - adotar controle diário de todas as solicitações de lançamento no PGE.Net;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Corpodetexto2"/>
        <w:ind w:left="0" w:firstLine="540"/>
      </w:pPr>
      <w:r>
        <w:t>III - prestar atendimento diário aos usuários do sistema;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Corpodetexto2"/>
        <w:ind w:left="0" w:firstLine="540"/>
      </w:pPr>
      <w:r>
        <w:t>IV - efetuar o descarte dos documentos digitalizados, à exceçã</w:t>
      </w:r>
      <w:r>
        <w:t>o daqueles originais e outros que devem ser devolvidos para o órgão respectivo da PGE/MS, para fins de arquivo ou remessa ao órgão da Administração estadual de origem, nos termos da Resolução PGE/MS/N.º 177, de 11 de fevereiro de 2008;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Corpodetexto2"/>
        <w:ind w:left="0" w:firstLine="540"/>
      </w:pPr>
      <w:r>
        <w:t>V - auxiliar a dire</w:t>
      </w:r>
      <w:r>
        <w:t>ção da PGE, Corregedoria-Geral e todos os outros órgãos na emissão de relatórios e outros aplicativos do sistema;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Corpodetexto2"/>
        <w:ind w:left="0" w:firstLine="540"/>
      </w:pPr>
      <w:r>
        <w:t xml:space="preserve">Art. 3º. Incumbe aos órgãos da PGE adotar os seguintes princípios e tarefas para a informatização dos processos de sua competência, bem como </w:t>
      </w:r>
      <w:r>
        <w:t>utilização do sistema: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Corpodetexto2"/>
        <w:ind w:left="0" w:firstLine="540"/>
      </w:pPr>
      <w:r>
        <w:t>I - organização das pastas físicas objeto da informatização, por ordem cronológica dos fatos relativos ao processo respectivo e separadamente a ação originária dos recursos, execuções e outros incidentes a ela vinculados;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Corpodetexto2"/>
        <w:ind w:left="0" w:firstLine="540"/>
      </w:pPr>
      <w:r>
        <w:t>II - ao o</w:t>
      </w:r>
      <w:r>
        <w:t>rganizar as pastas físicas objeto da informatização, separar, para descarte, os documentos que não serão digitalizados;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Corpodetexto2"/>
        <w:ind w:left="0" w:firstLine="540"/>
      </w:pPr>
      <w:r>
        <w:t>III - impossibilidade de cadastro de pasta digital apenas com o andamento extraído do SAJ.TJ (andamento do processo), por falta de dado</w:t>
      </w:r>
      <w:r>
        <w:t>s que somente constam da petição inicial ou outra peça similar;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Corpodetexto2"/>
        <w:ind w:left="0" w:firstLine="540"/>
      </w:pPr>
      <w:r>
        <w:t>IV - remessa ao Cartório/PGE dos documentos a serem inseridos na pasta digital, através da ficha de encaminhamento respectiva ou de carimbo próprio, quando se tratar de publicação judicial na</w:t>
      </w:r>
      <w:r>
        <w:t xml:space="preserve"> imprensa, indicativo do PGE.Net;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Corpodetexto2"/>
        <w:ind w:left="0" w:firstLine="540"/>
      </w:pPr>
      <w:r>
        <w:t>§ 1º. Às chefias dos órgãos incumbem as tarefas de gerenciamento do sistema no tocante à validação de processo, distribuição e redistribuição de processo, ativação e desativação de Procurador do Estado no sistema (por mot</w:t>
      </w:r>
      <w:r>
        <w:t>ivo de afastamento, férias ou ausências), dentre outras.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Corpodetexto2"/>
        <w:ind w:left="0" w:firstLine="540"/>
      </w:pPr>
      <w:r>
        <w:t>§ 2º. Aos Procuradores do Estado cumpre desempenhar suas atividades diretamente através do sistema PGE.Net, tais como recebimento de processos pela distribuição ou redistribuição da chefia, comunica</w:t>
      </w:r>
      <w:r>
        <w:t>ção de lançamento de pendências de prazos de processos de sua competência, necessária utilização do programa editor de texto do sistema, dentre outras.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Corpodetexto2"/>
        <w:ind w:left="0" w:firstLine="540"/>
      </w:pPr>
      <w:r>
        <w:t>Art. 4º. Adotar Ficha de Encaminhamento de Documentos – PGE.Net, a ser utilizada por todo órgão da PGE/</w:t>
      </w:r>
      <w:r>
        <w:t xml:space="preserve">MS ao encaminhar documentos ao Cartório/PGE, que deverá conter as informações indicativas do órgão da PGE/MS, da data, do número do </w:t>
      </w:r>
      <w:r>
        <w:lastRenderedPageBreak/>
        <w:t>PGE.Net, do número do processo judicial, do nome da outra parte, da quantidade de páginas/folhas enviadas e o objeto da inse</w:t>
      </w:r>
      <w:r>
        <w:t xml:space="preserve">rção no PGE.Net. 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Corpodetexto2"/>
        <w:ind w:left="0" w:firstLine="540"/>
      </w:pPr>
      <w:r>
        <w:t>§ 1º. A Ficha de Encaminhamento de Documentos – PGE.Net será elaborada pelo Cartório/PGE e enviada a todos os órgãos usuários do sistema.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Corpodetexto2"/>
        <w:ind w:left="0" w:firstLine="540"/>
      </w:pPr>
      <w:r>
        <w:t>§ 2º. É desnecessária a utilização da Ficha de Encaminhamento de Documentos – PGE.Net para a remes</w:t>
      </w:r>
      <w:r>
        <w:t>sa ao Cartório/PGE no caso: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Corpodetexto2"/>
        <w:ind w:left="0" w:firstLine="540"/>
      </w:pPr>
      <w:r>
        <w:t>I - das publicações judiciais, que serão enviadas com o carimbo do número do PGE.Net respectivo;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Corpodetexto2"/>
        <w:ind w:left="0" w:firstLine="540"/>
      </w:pPr>
      <w:r>
        <w:t>II - dos mandados de intimação e citação recebidos pelo Gabinete da PGE/MS;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Corpodetexto2"/>
        <w:ind w:left="0" w:firstLine="540"/>
      </w:pPr>
      <w:r>
        <w:t>III - das petições e outras peç</w:t>
      </w:r>
      <w:r>
        <w:t>as judiciais protocolizadas pelo Cartório/PGE, que as irá inserir diretamente, sem retorno ao órgão de origem;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Corpodetexto2"/>
        <w:ind w:left="0" w:firstLine="540"/>
      </w:pPr>
      <w:r>
        <w:t>IV - outras que o Cartório/PGE adotar no decorrer da informatização.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Corpodetexto2"/>
        <w:ind w:left="0" w:firstLine="540"/>
      </w:pPr>
      <w:r>
        <w:t>Art. 5º. Será regulamentada, no prazo de noventa dias, a retirada, dos com</w:t>
      </w:r>
      <w:r>
        <w:t>putadores dos usuários, de outros programas de editores de texto que não aquele adotado pelo sistema PGE.Net.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Corpodetexto2"/>
        <w:ind w:left="0" w:firstLine="540"/>
      </w:pPr>
      <w:r>
        <w:t>Art. 6º. Esta Resolução entra em vigor na data de sua publicação.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Corpodetexto2"/>
        <w:ind w:left="0" w:firstLine="540"/>
      </w:pPr>
      <w:r>
        <w:t>Campo Grande, MS, 05 de junho de 2008.</w:t>
      </w:r>
    </w:p>
    <w:p w:rsidR="00000000" w:rsidRDefault="00BD787C">
      <w:pPr>
        <w:pStyle w:val="Corpodetexto2"/>
        <w:ind w:left="0" w:firstLine="540"/>
      </w:pPr>
    </w:p>
    <w:p w:rsidR="00000000" w:rsidRDefault="00BD787C">
      <w:pPr>
        <w:pStyle w:val="Identificao"/>
        <w:ind w:firstLine="540"/>
        <w:rPr>
          <w:rFonts w:ascii="Verdana" w:hAnsi="Verdana" w:cs="Verdana"/>
          <w:sz w:val="16"/>
          <w:szCs w:val="16"/>
        </w:rPr>
      </w:pPr>
    </w:p>
    <w:p w:rsidR="00000000" w:rsidRDefault="00BD787C">
      <w:pPr>
        <w:pStyle w:val="Identificao"/>
        <w:ind w:firstLine="540"/>
        <w:rPr>
          <w:rFonts w:ascii="Verdana" w:hAnsi="Verdana" w:cs="Verdana"/>
          <w:sz w:val="16"/>
          <w:szCs w:val="16"/>
        </w:rPr>
      </w:pPr>
    </w:p>
    <w:p w:rsidR="00000000" w:rsidRDefault="00BD787C">
      <w:pPr>
        <w:pStyle w:val="Identificao"/>
        <w:ind w:firstLine="54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Rafael Coldibelli Francisco</w:t>
      </w:r>
    </w:p>
    <w:p w:rsidR="00000000" w:rsidRDefault="00BD787C">
      <w:pPr>
        <w:pStyle w:val="Identificao"/>
        <w:ind w:firstLine="54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Procurad</w:t>
      </w:r>
      <w:r>
        <w:rPr>
          <w:rFonts w:ascii="Verdana" w:hAnsi="Verdana" w:cs="Verdana"/>
          <w:sz w:val="16"/>
          <w:szCs w:val="16"/>
        </w:rPr>
        <w:t>or-Geral do Estado</w:t>
      </w:r>
    </w:p>
    <w:p w:rsidR="00000000" w:rsidRDefault="00BD787C">
      <w:pPr>
        <w:rPr>
          <w:rFonts w:ascii="Verdana" w:hAnsi="Verdana" w:cs="Verdana"/>
          <w:sz w:val="16"/>
          <w:szCs w:val="16"/>
        </w:rPr>
      </w:pPr>
    </w:p>
    <w:sectPr w:rsidR="00000000">
      <w:footerReference w:type="default" r:id="rId6"/>
      <w:pgSz w:w="11907" w:h="16840" w:code="9"/>
      <w:pgMar w:top="851" w:right="2268" w:bottom="851" w:left="2552" w:header="737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D787C">
      <w:r>
        <w:separator/>
      </w:r>
    </w:p>
  </w:endnote>
  <w:endnote w:type="continuationSeparator" w:id="0">
    <w:p w:rsidR="00000000" w:rsidRDefault="00BD7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D787C">
    <w:pPr>
      <w:pStyle w:val="Rodap"/>
      <w:framePr w:wrap="auto" w:vAnchor="text" w:hAnchor="page" w:x="9853" w:y="211"/>
      <w:rPr>
        <w:rStyle w:val="Nmerodepgina"/>
        <w:sz w:val="16"/>
        <w:szCs w:val="16"/>
      </w:rPr>
    </w:pPr>
  </w:p>
  <w:p w:rsidR="00000000" w:rsidRDefault="00BD787C">
    <w:pPr>
      <w:pStyle w:val="Rodap"/>
      <w:framePr w:wrap="auto" w:vAnchor="text" w:hAnchor="page" w:x="9853" w:y="211"/>
      <w:rPr>
        <w:rStyle w:val="Nmerodepgina"/>
        <w:sz w:val="16"/>
        <w:szCs w:val="16"/>
      </w:rPr>
    </w:pPr>
  </w:p>
  <w:p w:rsidR="00000000" w:rsidRDefault="00BD787C">
    <w:pPr>
      <w:pStyle w:val="Rodap"/>
      <w:tabs>
        <w:tab w:val="clear" w:pos="4419"/>
        <w:tab w:val="clear" w:pos="8838"/>
        <w:tab w:val="left" w:pos="709"/>
      </w:tabs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D787C">
      <w:r>
        <w:separator/>
      </w:r>
    </w:p>
  </w:footnote>
  <w:footnote w:type="continuationSeparator" w:id="0">
    <w:p w:rsidR="00000000" w:rsidRDefault="00BD7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87C"/>
    <w:rsid w:val="00BD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autoSpaceDE w:val="0"/>
      <w:autoSpaceDN w:val="0"/>
      <w:adjustRightInd w:val="0"/>
      <w:outlineLvl w:val="0"/>
    </w:pPr>
    <w:rPr>
      <w:b/>
      <w:bCs/>
      <w:color w:val="000000"/>
      <w:sz w:val="22"/>
      <w:szCs w:val="22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Identificao">
    <w:name w:val="Identificação"/>
    <w:basedOn w:val="Normal"/>
    <w:uiPriority w:val="99"/>
    <w:pPr>
      <w:jc w:val="both"/>
    </w:pPr>
    <w:rPr>
      <w:sz w:val="22"/>
      <w:szCs w:val="2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  <w:jc w:val="both"/>
    </w:pPr>
    <w:rPr>
      <w:rFonts w:ascii="Bookman Old Style" w:hAnsi="Bookman Old Style" w:cs="Bookman Old Style"/>
      <w:b/>
      <w:bCs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semiHidden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</w:style>
  <w:style w:type="paragraph" w:styleId="Corpodetexto">
    <w:name w:val="Body Text"/>
    <w:basedOn w:val="Normal"/>
    <w:link w:val="CorpodetextoChar"/>
    <w:uiPriority w:val="99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pPr>
      <w:autoSpaceDE w:val="0"/>
      <w:autoSpaceDN w:val="0"/>
      <w:adjustRightInd w:val="0"/>
      <w:ind w:left="-900"/>
      <w:jc w:val="both"/>
    </w:pPr>
    <w:rPr>
      <w:rFonts w:ascii="Verdana" w:hAnsi="Verdana" w:cs="Verdana"/>
      <w:color w:val="000000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4141</Characters>
  <Application>Microsoft Office Word</Application>
  <DocSecurity>0</DocSecurity>
  <Lines>34</Lines>
  <Paragraphs>9</Paragraphs>
  <ScaleCrop>false</ScaleCrop>
  <Company>ESTADO DE MATO GROSSO DO SUL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PGE/MS/Nº 179, DE 20 DE MAIO DE 2008</dc:title>
  <dc:creator>Dra. Cristiane</dc:creator>
  <cp:lastModifiedBy>bbalog</cp:lastModifiedBy>
  <cp:revision>2</cp:revision>
  <cp:lastPrinted>2008-06-05T21:24:00Z</cp:lastPrinted>
  <dcterms:created xsi:type="dcterms:W3CDTF">2015-11-19T12:31:00Z</dcterms:created>
  <dcterms:modified xsi:type="dcterms:W3CDTF">2015-11-19T12:31:00Z</dcterms:modified>
</cp:coreProperties>
</file>