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51" w:rsidRPr="00B1135C" w:rsidRDefault="00F67F51" w:rsidP="003B0676">
      <w:pPr>
        <w:autoSpaceDE w:val="0"/>
        <w:autoSpaceDN w:val="0"/>
        <w:adjustRightInd w:val="0"/>
        <w:spacing w:after="0" w:line="240" w:lineRule="auto"/>
        <w:jc w:val="both"/>
        <w:rPr>
          <w:rFonts w:ascii="Verdana" w:hAnsi="Verdana" w:cs="Verdana"/>
          <w:sz w:val="16"/>
          <w:szCs w:val="16"/>
        </w:rPr>
      </w:pPr>
      <w:r w:rsidRPr="00B1135C">
        <w:rPr>
          <w:rFonts w:ascii="Verdana" w:hAnsi="Verdana" w:cs="Verdana"/>
          <w:sz w:val="16"/>
          <w:szCs w:val="16"/>
        </w:rPr>
        <w:t>RESOLUÇÃO PGE/MS/Nº</w:t>
      </w:r>
      <w:r w:rsidR="00941083">
        <w:rPr>
          <w:rFonts w:ascii="Verdana" w:hAnsi="Verdana" w:cs="Verdana"/>
          <w:sz w:val="16"/>
          <w:szCs w:val="16"/>
        </w:rPr>
        <w:t xml:space="preserve"> 215</w:t>
      </w:r>
      <w:r w:rsidRPr="00B1135C">
        <w:rPr>
          <w:rFonts w:ascii="Verdana" w:hAnsi="Verdana" w:cs="Verdana"/>
          <w:sz w:val="16"/>
          <w:szCs w:val="16"/>
        </w:rPr>
        <w:t xml:space="preserve"> , DE</w:t>
      </w:r>
      <w:r w:rsidR="00941083">
        <w:rPr>
          <w:rFonts w:ascii="Verdana" w:hAnsi="Verdana" w:cs="Verdana"/>
          <w:sz w:val="16"/>
          <w:szCs w:val="16"/>
        </w:rPr>
        <w:t xml:space="preserve"> 25 </w:t>
      </w:r>
      <w:r w:rsidRPr="00B1135C">
        <w:rPr>
          <w:rFonts w:ascii="Verdana" w:hAnsi="Verdana" w:cs="Verdana"/>
          <w:sz w:val="16"/>
          <w:szCs w:val="16"/>
        </w:rPr>
        <w:t xml:space="preserve">DE </w:t>
      </w:r>
      <w:r w:rsidR="00B1135C">
        <w:rPr>
          <w:rFonts w:ascii="Verdana" w:hAnsi="Verdana" w:cs="Verdana"/>
          <w:sz w:val="16"/>
          <w:szCs w:val="16"/>
        </w:rPr>
        <w:t xml:space="preserve">NOVEMBRO </w:t>
      </w:r>
      <w:r w:rsidRPr="00B1135C">
        <w:rPr>
          <w:rFonts w:ascii="Verdana" w:hAnsi="Verdana" w:cs="Verdana"/>
          <w:sz w:val="16"/>
          <w:szCs w:val="16"/>
        </w:rPr>
        <w:t>DE 2013.</w:t>
      </w:r>
    </w:p>
    <w:p w:rsidR="00F67F51" w:rsidRPr="00B1135C" w:rsidRDefault="00F67F51" w:rsidP="003B0676">
      <w:pPr>
        <w:autoSpaceDE w:val="0"/>
        <w:autoSpaceDN w:val="0"/>
        <w:adjustRightInd w:val="0"/>
        <w:spacing w:after="0" w:line="240" w:lineRule="auto"/>
        <w:jc w:val="both"/>
        <w:rPr>
          <w:rFonts w:ascii="Verdana,Italic" w:hAnsi="Verdana,Italic" w:cs="Verdana,Italic"/>
          <w:i/>
          <w:iCs/>
          <w:sz w:val="16"/>
          <w:szCs w:val="16"/>
        </w:rPr>
      </w:pPr>
    </w:p>
    <w:p w:rsidR="00F67F51" w:rsidRPr="00B1135C" w:rsidRDefault="00F67F51" w:rsidP="003B0676">
      <w:pPr>
        <w:autoSpaceDE w:val="0"/>
        <w:autoSpaceDN w:val="0"/>
        <w:adjustRightInd w:val="0"/>
        <w:spacing w:after="0" w:line="240" w:lineRule="auto"/>
        <w:jc w:val="both"/>
        <w:rPr>
          <w:rFonts w:ascii="Verdana,Italic" w:hAnsi="Verdana,Italic" w:cs="Verdana,Italic"/>
          <w:i/>
          <w:iCs/>
          <w:sz w:val="16"/>
          <w:szCs w:val="16"/>
        </w:rPr>
      </w:pPr>
    </w:p>
    <w:p w:rsidR="00F67F51" w:rsidRPr="00B1135C" w:rsidRDefault="00F67F51" w:rsidP="00E57631">
      <w:pPr>
        <w:tabs>
          <w:tab w:val="left" w:pos="2835"/>
        </w:tabs>
        <w:autoSpaceDE w:val="0"/>
        <w:autoSpaceDN w:val="0"/>
        <w:adjustRightInd w:val="0"/>
        <w:spacing w:after="0" w:line="240" w:lineRule="auto"/>
        <w:ind w:left="3402"/>
        <w:jc w:val="both"/>
        <w:rPr>
          <w:rFonts w:ascii="Verdana,Italic" w:hAnsi="Verdana,Italic" w:cs="Verdana,Italic"/>
          <w:i/>
          <w:iCs/>
          <w:sz w:val="15"/>
          <w:szCs w:val="15"/>
        </w:rPr>
      </w:pPr>
      <w:r w:rsidRPr="00B1135C">
        <w:rPr>
          <w:rFonts w:ascii="Verdana,Italic" w:hAnsi="Verdana,Italic" w:cs="Verdana,Italic"/>
          <w:i/>
          <w:iCs/>
          <w:sz w:val="15"/>
          <w:szCs w:val="15"/>
        </w:rPr>
        <w:t>Altera a Resolução PGE/MS/Nº 194, de 23 de abril de 2010, que trata do Regimento Interno da</w:t>
      </w:r>
      <w:r w:rsidR="003B0676" w:rsidRPr="00B1135C">
        <w:rPr>
          <w:rFonts w:ascii="Verdana,Italic" w:hAnsi="Verdana,Italic" w:cs="Verdana,Italic"/>
          <w:i/>
          <w:iCs/>
          <w:sz w:val="15"/>
          <w:szCs w:val="15"/>
        </w:rPr>
        <w:t xml:space="preserve"> </w:t>
      </w:r>
      <w:r w:rsidRPr="00B1135C">
        <w:rPr>
          <w:rFonts w:ascii="Verdana,Italic" w:hAnsi="Verdana,Italic" w:cs="Verdana,Italic"/>
          <w:i/>
          <w:iCs/>
          <w:sz w:val="15"/>
          <w:szCs w:val="15"/>
        </w:rPr>
        <w:t>Procuradoria-Geral do Estado, e dá outras providências.</w:t>
      </w:r>
    </w:p>
    <w:p w:rsidR="00F67F51" w:rsidRPr="00B1135C" w:rsidRDefault="00F67F51" w:rsidP="003B0676">
      <w:pPr>
        <w:autoSpaceDE w:val="0"/>
        <w:autoSpaceDN w:val="0"/>
        <w:adjustRightInd w:val="0"/>
        <w:spacing w:after="0" w:line="240" w:lineRule="auto"/>
        <w:jc w:val="both"/>
        <w:rPr>
          <w:rFonts w:ascii="Verdana" w:hAnsi="Verdana" w:cs="Verdana"/>
          <w:sz w:val="15"/>
          <w:szCs w:val="15"/>
        </w:rPr>
      </w:pPr>
    </w:p>
    <w:p w:rsidR="00F67F51" w:rsidRPr="00B1135C" w:rsidRDefault="00F67F51" w:rsidP="003B0676">
      <w:pPr>
        <w:autoSpaceDE w:val="0"/>
        <w:autoSpaceDN w:val="0"/>
        <w:adjustRightInd w:val="0"/>
        <w:spacing w:after="0" w:line="240" w:lineRule="auto"/>
        <w:jc w:val="both"/>
        <w:rPr>
          <w:rFonts w:ascii="Verdana" w:hAnsi="Verdana" w:cs="Verdana"/>
          <w:sz w:val="16"/>
          <w:szCs w:val="16"/>
        </w:rPr>
      </w:pPr>
    </w:p>
    <w:p w:rsidR="00031309" w:rsidRPr="00B1135C" w:rsidRDefault="00F67F51" w:rsidP="003B0676">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 xml:space="preserve">O </w:t>
      </w:r>
      <w:r w:rsidRPr="00B1135C">
        <w:rPr>
          <w:rFonts w:ascii="Verdana,Bold" w:hAnsi="Verdana,Bold" w:cs="Verdana,Bold"/>
          <w:b/>
          <w:bCs/>
          <w:sz w:val="16"/>
          <w:szCs w:val="16"/>
        </w:rPr>
        <w:t>PROCURADOR-GERAL DO ESTADO DE MATO GROSSO DO</w:t>
      </w:r>
      <w:r w:rsidR="003B0676" w:rsidRPr="00B1135C">
        <w:rPr>
          <w:rFonts w:ascii="Verdana,Bold" w:hAnsi="Verdana,Bold" w:cs="Verdana,Bold"/>
          <w:b/>
          <w:bCs/>
          <w:sz w:val="16"/>
          <w:szCs w:val="16"/>
        </w:rPr>
        <w:t xml:space="preserve"> </w:t>
      </w:r>
      <w:r w:rsidRPr="00B1135C">
        <w:rPr>
          <w:rFonts w:ascii="Verdana,Bold" w:hAnsi="Verdana,Bold" w:cs="Verdana,Bold"/>
          <w:b/>
          <w:bCs/>
          <w:sz w:val="16"/>
          <w:szCs w:val="16"/>
        </w:rPr>
        <w:t>SUL</w:t>
      </w:r>
      <w:r w:rsidRPr="00B1135C">
        <w:rPr>
          <w:rFonts w:ascii="Verdana" w:hAnsi="Verdana" w:cs="Verdana"/>
          <w:sz w:val="16"/>
          <w:szCs w:val="16"/>
        </w:rPr>
        <w:t>, no uso das atribuições conferidas pela Lei Complementar nº 95, de 26 de dezembro de 2001,</w:t>
      </w:r>
    </w:p>
    <w:p w:rsidR="00F67F51" w:rsidRPr="00B1135C" w:rsidRDefault="00F67F51" w:rsidP="003B0676">
      <w:pPr>
        <w:ind w:firstLine="1701"/>
        <w:jc w:val="both"/>
        <w:rPr>
          <w:rFonts w:ascii="Verdana" w:hAnsi="Verdana" w:cs="Verdana"/>
          <w:sz w:val="16"/>
          <w:szCs w:val="16"/>
        </w:rPr>
      </w:pPr>
    </w:p>
    <w:p w:rsidR="00F67F51" w:rsidRPr="00B1135C" w:rsidRDefault="00F67F51" w:rsidP="003B0676">
      <w:pPr>
        <w:ind w:firstLine="1701"/>
        <w:jc w:val="both"/>
        <w:rPr>
          <w:rFonts w:ascii="Verdana" w:hAnsi="Verdana" w:cs="Verdana"/>
          <w:b/>
          <w:sz w:val="16"/>
          <w:szCs w:val="16"/>
        </w:rPr>
      </w:pPr>
      <w:r w:rsidRPr="00B1135C">
        <w:rPr>
          <w:rFonts w:ascii="Verdana" w:hAnsi="Verdana" w:cs="Verdana"/>
          <w:b/>
          <w:sz w:val="16"/>
          <w:szCs w:val="16"/>
        </w:rPr>
        <w:t>RESOLVE:</w:t>
      </w:r>
    </w:p>
    <w:p w:rsidR="0025332B" w:rsidRPr="00B1135C" w:rsidRDefault="0025332B" w:rsidP="003B0676">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 xml:space="preserve">Art. 1º. O art. </w:t>
      </w:r>
      <w:r w:rsidR="006C1B19" w:rsidRPr="00B1135C">
        <w:rPr>
          <w:rFonts w:ascii="Verdana" w:hAnsi="Verdana" w:cs="Verdana"/>
          <w:sz w:val="16"/>
          <w:szCs w:val="16"/>
        </w:rPr>
        <w:t>2</w:t>
      </w:r>
      <w:r w:rsidRPr="00B1135C">
        <w:rPr>
          <w:rFonts w:ascii="Verdana" w:hAnsi="Verdana" w:cs="Verdana"/>
          <w:sz w:val="16"/>
          <w:szCs w:val="16"/>
        </w:rPr>
        <w:t xml:space="preserve">º, do Anexo X, da Resolução PGE/MS/Nº 194, de 23 de abril de 2010, </w:t>
      </w:r>
      <w:r w:rsidR="002242B7" w:rsidRPr="00B1135C">
        <w:rPr>
          <w:rFonts w:ascii="Verdana" w:hAnsi="Verdana" w:cs="Verdana"/>
          <w:sz w:val="16"/>
          <w:szCs w:val="16"/>
        </w:rPr>
        <w:t>passa a vigorar com as seguintes alterações:</w:t>
      </w:r>
    </w:p>
    <w:p w:rsidR="002242B7" w:rsidRPr="00B1135C" w:rsidRDefault="002242B7" w:rsidP="003B0676">
      <w:pPr>
        <w:autoSpaceDE w:val="0"/>
        <w:autoSpaceDN w:val="0"/>
        <w:adjustRightInd w:val="0"/>
        <w:spacing w:after="0" w:line="240" w:lineRule="auto"/>
        <w:ind w:firstLine="1701"/>
        <w:jc w:val="both"/>
        <w:rPr>
          <w:rFonts w:ascii="Verdana" w:hAnsi="Verdana" w:cs="Verdana"/>
          <w:sz w:val="16"/>
          <w:szCs w:val="16"/>
        </w:rPr>
      </w:pPr>
    </w:p>
    <w:p w:rsidR="0025332B"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“Art. 2º........................................................................</w:t>
      </w:r>
      <w:r w:rsidR="003B0676" w:rsidRPr="00B1135C">
        <w:rPr>
          <w:rFonts w:ascii="Verdana" w:hAnsi="Verdana" w:cs="Verdana"/>
          <w:sz w:val="16"/>
          <w:szCs w:val="16"/>
        </w:rPr>
        <w:t>..........................</w:t>
      </w:r>
    </w:p>
    <w:p w:rsidR="002242B7" w:rsidRPr="00B1135C" w:rsidRDefault="002242B7"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I............................................................................................................</w:t>
      </w:r>
    </w:p>
    <w:p w:rsidR="0025332B"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 xml:space="preserve">i) em face de decisão que declare inexistir prova da sucessão tributária, sem prejuízo da solicitação pelo Procurador do Estado responsável pelo processo de execução fiscal de diligências administrativas para a produção da referida prova, nos termos do que dispõe o art. </w:t>
      </w:r>
      <w:r w:rsidR="006C1B19" w:rsidRPr="00B1135C">
        <w:rPr>
          <w:rFonts w:ascii="Verdana" w:hAnsi="Verdana" w:cs="Verdana"/>
          <w:sz w:val="16"/>
          <w:szCs w:val="16"/>
        </w:rPr>
        <w:t xml:space="preserve">16, </w:t>
      </w:r>
      <w:r w:rsidRPr="00B1135C">
        <w:rPr>
          <w:rFonts w:ascii="Verdana" w:hAnsi="Verdana" w:cs="Verdana"/>
          <w:sz w:val="16"/>
          <w:szCs w:val="16"/>
        </w:rPr>
        <w:t>§ 3º, do Anexo XIII, desta Resolução;</w:t>
      </w:r>
    </w:p>
    <w:p w:rsidR="0025332B"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j) em face de decisão que reconheceu a p</w:t>
      </w:r>
      <w:r w:rsidR="006C1B19" w:rsidRPr="00B1135C">
        <w:rPr>
          <w:rFonts w:ascii="Verdana" w:hAnsi="Verdana" w:cs="Verdana"/>
          <w:sz w:val="16"/>
          <w:szCs w:val="16"/>
        </w:rPr>
        <w:t>er</w:t>
      </w:r>
      <w:r w:rsidRPr="00B1135C">
        <w:rPr>
          <w:rFonts w:ascii="Verdana" w:hAnsi="Verdana" w:cs="Verdana"/>
          <w:sz w:val="16"/>
          <w:szCs w:val="16"/>
        </w:rPr>
        <w:t>da do direito de redireciona</w:t>
      </w:r>
      <w:r w:rsidR="00122A61" w:rsidRPr="00B1135C">
        <w:rPr>
          <w:rFonts w:ascii="Verdana" w:hAnsi="Verdana" w:cs="Verdana"/>
          <w:sz w:val="16"/>
          <w:szCs w:val="16"/>
        </w:rPr>
        <w:t>mento da execução fiscal aos cor</w:t>
      </w:r>
      <w:r w:rsidRPr="00B1135C">
        <w:rPr>
          <w:rFonts w:ascii="Verdana" w:hAnsi="Verdana" w:cs="Verdana"/>
          <w:sz w:val="16"/>
          <w:szCs w:val="16"/>
        </w:rPr>
        <w:t>responsáveis, em razão do transcurso de prazo entre a citação da empresa e dos mesmos (prescrição intercorrente), ressalvados os casos de culpa do Poder Judiciário pela demora do andamento processual e a existência de penhora de bens de propriedade do devedor original e respectivos atos ulteriores, autorizado o arquivamento com fulcro no art. 40 da Lei 6.830/80;</w:t>
      </w:r>
    </w:p>
    <w:p w:rsidR="0025332B"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 xml:space="preserve">k) extraordinário em face de decisões proferidas pelas Turmas Recursais dos Juizados Especiais, salvo quando houver determinação expressa do Procurador-Geral do Estado acerca de determinada matéria </w:t>
      </w:r>
    </w:p>
    <w:p w:rsidR="0025332B"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l) em face de decisão que suspenda a exigibilidade do crédito em discussão em razão de depósito integral ou apresentação de fiança bancária, desde que os valores respectivos estejam atualizados de acordo com a correção aplicada pelo credor e que não contenham cláusula de prazo determinado; (v. artigo 2º, II, IV)</w:t>
      </w:r>
    </w:p>
    <w:p w:rsidR="002242B7" w:rsidRPr="00B1135C" w:rsidRDefault="0025332B"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m) em face de decisão que atribua responsabilidade do sócio administrador apenas aos fatos geradores ocorridos no período de sua gestão ou, no caso de dissolução irregular da sociedade, ao sócio com poder d</w:t>
      </w:r>
      <w:r w:rsidR="00B913A6" w:rsidRPr="00B1135C">
        <w:rPr>
          <w:rFonts w:ascii="Verdana" w:hAnsi="Verdana" w:cs="Verdana"/>
          <w:sz w:val="16"/>
          <w:szCs w:val="16"/>
        </w:rPr>
        <w:t>e gerência quando da dissolução.</w:t>
      </w:r>
      <w:r w:rsidRPr="00B1135C">
        <w:rPr>
          <w:rFonts w:ascii="Verdana" w:hAnsi="Verdana" w:cs="Verdana"/>
          <w:sz w:val="16"/>
          <w:szCs w:val="16"/>
        </w:rPr>
        <w:t xml:space="preserve"> (v. art. 2º, II, IX)</w:t>
      </w:r>
      <w:r w:rsidR="00B913A6" w:rsidRPr="00B1135C">
        <w:rPr>
          <w:rFonts w:ascii="Verdana" w:hAnsi="Verdana" w:cs="Verdana"/>
          <w:sz w:val="16"/>
          <w:szCs w:val="16"/>
        </w:rPr>
        <w:t>.</w:t>
      </w:r>
    </w:p>
    <w:p w:rsidR="002242B7" w:rsidRPr="00B1135C" w:rsidRDefault="002242B7"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II...........................................................................................................</w:t>
      </w:r>
    </w:p>
    <w:p w:rsidR="002242B7" w:rsidRPr="00B1135C" w:rsidRDefault="002242B7"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III .........................................................................................................</w:t>
      </w:r>
    </w:p>
    <w:p w:rsidR="00AD2A5F" w:rsidRPr="00B1135C" w:rsidRDefault="00F67F51"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 xml:space="preserve">j) </w:t>
      </w:r>
      <w:r w:rsidR="00AD2A5F" w:rsidRPr="00B1135C">
        <w:rPr>
          <w:rFonts w:ascii="Verdana" w:hAnsi="Verdana" w:cs="Verdana"/>
          <w:sz w:val="16"/>
          <w:szCs w:val="16"/>
        </w:rPr>
        <w:t xml:space="preserve">independentemente de citação pessoal dos </w:t>
      </w:r>
      <w:proofErr w:type="spellStart"/>
      <w:r w:rsidR="00AD2A5F" w:rsidRPr="00B1135C">
        <w:rPr>
          <w:rFonts w:ascii="Verdana" w:hAnsi="Verdana" w:cs="Verdana"/>
          <w:sz w:val="16"/>
          <w:szCs w:val="16"/>
        </w:rPr>
        <w:t>co-responsáveis</w:t>
      </w:r>
      <w:proofErr w:type="spellEnd"/>
      <w:r w:rsidR="00AD2A5F" w:rsidRPr="00B1135C">
        <w:rPr>
          <w:rFonts w:ascii="Verdana" w:hAnsi="Verdana" w:cs="Verdana"/>
          <w:sz w:val="16"/>
          <w:szCs w:val="16"/>
        </w:rPr>
        <w:t xml:space="preserve"> (redirecionamento) nas execuções fiscais em que o débito não ultrapasse 20.000 UAMS, se a empresa devedora estiver inativa, comprovada por meio de pesquisa cadastral ou certidão de oficial de justiça e não forem localizados bens dos </w:t>
      </w:r>
      <w:proofErr w:type="spellStart"/>
      <w:r w:rsidR="00AD2A5F" w:rsidRPr="00B1135C">
        <w:rPr>
          <w:rFonts w:ascii="Verdana" w:hAnsi="Verdana" w:cs="Verdana"/>
          <w:sz w:val="16"/>
          <w:szCs w:val="16"/>
        </w:rPr>
        <w:t>co-responsáveis</w:t>
      </w:r>
      <w:proofErr w:type="spellEnd"/>
      <w:r w:rsidR="00AD2A5F" w:rsidRPr="00B1135C">
        <w:rPr>
          <w:rFonts w:ascii="Verdana" w:hAnsi="Verdana" w:cs="Verdana"/>
          <w:sz w:val="16"/>
          <w:szCs w:val="16"/>
        </w:rPr>
        <w:t xml:space="preserve"> em pesquisa patrimonial administrativa </w:t>
      </w:r>
      <w:r w:rsidR="00F33853" w:rsidRPr="00B1135C">
        <w:rPr>
          <w:rFonts w:ascii="Verdana" w:hAnsi="Verdana" w:cs="Verdana"/>
          <w:sz w:val="16"/>
          <w:szCs w:val="16"/>
        </w:rPr>
        <w:t xml:space="preserve">(CRI, </w:t>
      </w:r>
      <w:proofErr w:type="spellStart"/>
      <w:r w:rsidR="00F33853" w:rsidRPr="00B1135C">
        <w:rPr>
          <w:rFonts w:ascii="Verdana" w:hAnsi="Verdana" w:cs="Verdana"/>
          <w:sz w:val="16"/>
          <w:szCs w:val="16"/>
        </w:rPr>
        <w:t>Detran</w:t>
      </w:r>
      <w:proofErr w:type="spellEnd"/>
      <w:r w:rsidR="00F33853" w:rsidRPr="00B1135C">
        <w:rPr>
          <w:rFonts w:ascii="Verdana" w:hAnsi="Verdana" w:cs="Verdana"/>
          <w:sz w:val="16"/>
          <w:szCs w:val="16"/>
        </w:rPr>
        <w:t xml:space="preserve"> e Receita Federal).</w:t>
      </w:r>
    </w:p>
    <w:p w:rsidR="00B913A6" w:rsidRPr="00B1135C" w:rsidRDefault="00B913A6" w:rsidP="002242B7">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w:t>
      </w:r>
      <w:r w:rsidR="00F33853" w:rsidRPr="00B1135C">
        <w:rPr>
          <w:rFonts w:ascii="Verdana" w:hAnsi="Verdana" w:cs="Verdana"/>
          <w:sz w:val="16"/>
          <w:szCs w:val="16"/>
        </w:rPr>
        <w:t>.............................................................................................................</w:t>
      </w:r>
      <w:r w:rsidRPr="00B1135C">
        <w:rPr>
          <w:rFonts w:ascii="Verdana" w:hAnsi="Verdana" w:cs="Verdana"/>
          <w:sz w:val="16"/>
          <w:szCs w:val="16"/>
        </w:rPr>
        <w:t>.....................................</w:t>
      </w:r>
      <w:r w:rsidR="002242B7" w:rsidRPr="00B1135C">
        <w:rPr>
          <w:rFonts w:ascii="Verdana" w:hAnsi="Verdana" w:cs="Verdana"/>
          <w:sz w:val="16"/>
          <w:szCs w:val="16"/>
        </w:rPr>
        <w:t>...................................</w:t>
      </w:r>
    </w:p>
    <w:p w:rsidR="003B0676" w:rsidRPr="00B1135C" w:rsidRDefault="00B913A6" w:rsidP="003B0676">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 5º</w:t>
      </w:r>
      <w:r w:rsidR="003B0676" w:rsidRPr="00B1135C">
        <w:rPr>
          <w:rFonts w:ascii="Verdana" w:hAnsi="Verdana" w:cs="Verdana"/>
          <w:sz w:val="16"/>
          <w:szCs w:val="16"/>
        </w:rPr>
        <w:t xml:space="preserve"> A </w:t>
      </w:r>
      <w:r w:rsidRPr="00B1135C">
        <w:rPr>
          <w:rFonts w:ascii="Verdana" w:hAnsi="Verdana" w:cs="Verdana"/>
          <w:sz w:val="16"/>
          <w:szCs w:val="16"/>
        </w:rPr>
        <w:t>interposição de recurso especial e/ou recurso extraordinário em processo judicial em que se discute crédito tributário de até duas mil UFERMS, incluídos o tributo, juros, penalidades pecuniárias e qualquer outro encargo, a que faz referência o artigo 5º, inciso II, do Decreto nº 10.677, de 26 de fevereiro de 2002, depende de autorização específica</w:t>
      </w:r>
      <w:r w:rsidR="003B0676" w:rsidRPr="00B1135C">
        <w:rPr>
          <w:rFonts w:ascii="Verdana" w:hAnsi="Verdana" w:cs="Verdana"/>
          <w:sz w:val="16"/>
          <w:szCs w:val="16"/>
        </w:rPr>
        <w:t xml:space="preserve"> do Procurador-Geral do Estado, se versar sobre matéria que possa provocar precedente desfavorável e relevante aos interesses do Estado”. (</w:t>
      </w:r>
      <w:r w:rsidR="003B0676" w:rsidRPr="00B1135C">
        <w:rPr>
          <w:rFonts w:ascii="Verdana" w:hAnsi="Verdana" w:cs="Verdana"/>
          <w:b/>
          <w:sz w:val="16"/>
          <w:szCs w:val="16"/>
        </w:rPr>
        <w:t>NR</w:t>
      </w:r>
      <w:r w:rsidR="003B0676" w:rsidRPr="00B1135C">
        <w:rPr>
          <w:rFonts w:ascii="Verdana" w:hAnsi="Verdana" w:cs="Verdana"/>
          <w:sz w:val="16"/>
          <w:szCs w:val="16"/>
        </w:rPr>
        <w:t>)</w:t>
      </w:r>
    </w:p>
    <w:p w:rsidR="003B0676" w:rsidRPr="00B1135C" w:rsidRDefault="003B0676" w:rsidP="003B0676">
      <w:pPr>
        <w:autoSpaceDE w:val="0"/>
        <w:autoSpaceDN w:val="0"/>
        <w:adjustRightInd w:val="0"/>
        <w:spacing w:after="0" w:line="240" w:lineRule="auto"/>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 xml:space="preserve">Art. </w:t>
      </w:r>
      <w:r w:rsidR="002242B7" w:rsidRPr="00B1135C">
        <w:rPr>
          <w:rFonts w:ascii="Verdana" w:hAnsi="Verdana" w:cs="Verdana"/>
          <w:sz w:val="16"/>
          <w:szCs w:val="16"/>
        </w:rPr>
        <w:t>2</w:t>
      </w:r>
      <w:r w:rsidRPr="00B1135C">
        <w:rPr>
          <w:rFonts w:ascii="Verdana" w:hAnsi="Verdana" w:cs="Verdana"/>
          <w:sz w:val="16"/>
          <w:szCs w:val="16"/>
        </w:rPr>
        <w:t xml:space="preserve">º. O </w:t>
      </w:r>
      <w:r w:rsidRPr="00B1135C">
        <w:rPr>
          <w:rFonts w:ascii="Verdana" w:hAnsi="Verdana" w:cs="Verdana"/>
          <w:i/>
          <w:sz w:val="16"/>
          <w:szCs w:val="16"/>
        </w:rPr>
        <w:t>caput</w:t>
      </w:r>
      <w:r w:rsidRPr="00B1135C">
        <w:rPr>
          <w:rFonts w:ascii="Verdana" w:hAnsi="Verdana" w:cs="Verdana"/>
          <w:sz w:val="16"/>
          <w:szCs w:val="16"/>
        </w:rPr>
        <w:t xml:space="preserve"> do art. 9º</w:t>
      </w:r>
      <w:r w:rsidR="002242B7" w:rsidRPr="00B1135C">
        <w:rPr>
          <w:rFonts w:ascii="Verdana" w:hAnsi="Verdana" w:cs="Verdana"/>
          <w:sz w:val="16"/>
          <w:szCs w:val="16"/>
        </w:rPr>
        <w:t>,</w:t>
      </w:r>
      <w:r w:rsidRPr="00B1135C">
        <w:rPr>
          <w:rFonts w:ascii="Verdana" w:hAnsi="Verdana" w:cs="Verdana"/>
          <w:sz w:val="16"/>
          <w:szCs w:val="16"/>
        </w:rPr>
        <w:t xml:space="preserve"> do Anexo XIII, da Resolução PGE/MS/Nº 194, de 23 de abril de 2010, passa a vigorar com a seguinte redação:</w:t>
      </w:r>
    </w:p>
    <w:p w:rsidR="00122A61" w:rsidRPr="00B1135C" w:rsidRDefault="00122A61" w:rsidP="006C1B19">
      <w:pPr>
        <w:autoSpaceDE w:val="0"/>
        <w:autoSpaceDN w:val="0"/>
        <w:adjustRightInd w:val="0"/>
        <w:spacing w:after="0" w:line="240" w:lineRule="auto"/>
        <w:ind w:left="2124"/>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“Art. 9º</w:t>
      </w:r>
      <w:r w:rsidR="002242B7" w:rsidRPr="00B1135C">
        <w:rPr>
          <w:rFonts w:ascii="Verdana" w:hAnsi="Verdana" w:cs="Verdana"/>
          <w:sz w:val="16"/>
          <w:szCs w:val="16"/>
        </w:rPr>
        <w:t>.</w:t>
      </w:r>
      <w:r w:rsidRPr="00B1135C">
        <w:rPr>
          <w:rFonts w:ascii="Verdana" w:hAnsi="Verdana" w:cs="Verdana"/>
          <w:sz w:val="16"/>
          <w:szCs w:val="16"/>
        </w:rPr>
        <w:t xml:space="preserve"> Fica autorizada a </w:t>
      </w:r>
      <w:proofErr w:type="spellStart"/>
      <w:r w:rsidRPr="00B1135C">
        <w:rPr>
          <w:rFonts w:ascii="Verdana" w:hAnsi="Verdana" w:cs="Verdana"/>
          <w:sz w:val="16"/>
          <w:szCs w:val="16"/>
        </w:rPr>
        <w:t>não-inscrição</w:t>
      </w:r>
      <w:proofErr w:type="spellEnd"/>
      <w:r w:rsidRPr="00B1135C">
        <w:rPr>
          <w:rFonts w:ascii="Verdana" w:hAnsi="Verdana" w:cs="Verdana"/>
          <w:sz w:val="16"/>
          <w:szCs w:val="16"/>
        </w:rPr>
        <w:t xml:space="preserve"> </w:t>
      </w:r>
      <w:smartTag w:uri="urn:schemas-microsoft-com:office:smarttags" w:element="PersonName">
        <w:smartTagPr>
          <w:attr w:name="ProductID" w:val="em Dívida Ativa"/>
        </w:smartTagPr>
        <w:r w:rsidRPr="00B1135C">
          <w:rPr>
            <w:rFonts w:ascii="Verdana" w:hAnsi="Verdana" w:cs="Verdana"/>
            <w:sz w:val="16"/>
            <w:szCs w:val="16"/>
          </w:rPr>
          <w:t>em Dívida Ativa</w:t>
        </w:r>
      </w:smartTag>
      <w:r w:rsidRPr="00B1135C">
        <w:rPr>
          <w:rFonts w:ascii="Verdana" w:hAnsi="Verdana" w:cs="Verdana"/>
          <w:sz w:val="16"/>
          <w:szCs w:val="16"/>
        </w:rPr>
        <w:t xml:space="preserve"> do Estado de débitos com a Fazenda Estadual de valor consolidado igual ou inferior a 35 (trinta e cinco) UFERMS (Unidade Fiscal de Referência de Mato Grosso do Sul). </w:t>
      </w:r>
    </w:p>
    <w:p w:rsidR="006C1B19" w:rsidRPr="00B1135C" w:rsidRDefault="006C1B19" w:rsidP="006C1B19">
      <w:pPr>
        <w:autoSpaceDE w:val="0"/>
        <w:autoSpaceDN w:val="0"/>
        <w:adjustRightInd w:val="0"/>
        <w:spacing w:after="0" w:line="240" w:lineRule="auto"/>
        <w:ind w:left="2124"/>
        <w:jc w:val="both"/>
        <w:rPr>
          <w:rFonts w:ascii="Verdana" w:hAnsi="Verdana" w:cs="Verdana"/>
          <w:sz w:val="16"/>
          <w:szCs w:val="16"/>
        </w:rPr>
      </w:pPr>
      <w:r w:rsidRPr="00B1135C">
        <w:rPr>
          <w:rFonts w:ascii="Verdana" w:hAnsi="Verdana" w:cs="Verdana"/>
          <w:sz w:val="16"/>
          <w:szCs w:val="16"/>
        </w:rPr>
        <w:t>............</w:t>
      </w:r>
      <w:r w:rsidR="002242B7" w:rsidRPr="00B1135C">
        <w:rPr>
          <w:rFonts w:ascii="Verdana" w:hAnsi="Verdana" w:cs="Verdana"/>
          <w:sz w:val="16"/>
          <w:szCs w:val="16"/>
        </w:rPr>
        <w:t>..........................</w:t>
      </w:r>
      <w:r w:rsidRPr="00B1135C">
        <w:rPr>
          <w:rFonts w:ascii="Verdana" w:hAnsi="Verdana" w:cs="Verdana"/>
          <w:sz w:val="16"/>
          <w:szCs w:val="16"/>
        </w:rPr>
        <w:t>..............................................................” (</w:t>
      </w:r>
      <w:r w:rsidRPr="00B1135C">
        <w:rPr>
          <w:rFonts w:ascii="Verdana" w:hAnsi="Verdana" w:cs="Verdana"/>
          <w:b/>
          <w:sz w:val="16"/>
          <w:szCs w:val="16"/>
        </w:rPr>
        <w:t>NR</w:t>
      </w:r>
      <w:r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4"/>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p>
    <w:p w:rsidR="006C1B19" w:rsidRPr="00B1135C" w:rsidRDefault="002242B7"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lastRenderedPageBreak/>
        <w:t>Art. 3</w:t>
      </w:r>
      <w:r w:rsidR="006C1B19" w:rsidRPr="00B1135C">
        <w:rPr>
          <w:rFonts w:ascii="Verdana" w:hAnsi="Verdana" w:cs="Verdana"/>
          <w:sz w:val="16"/>
          <w:szCs w:val="16"/>
        </w:rPr>
        <w:t>º. A alínea “a” do inciso I e as alíneas “a” e “b” do inciso II do art. 15 do Anexo XIII, da Resolução PGE/MS/Nº 194, de 23 de abril de 2010, passam a vigorar com a seguinte redação:</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“Art. 15..........................</w:t>
      </w:r>
      <w:r w:rsidR="00F33853" w:rsidRPr="00B1135C">
        <w:rPr>
          <w:rFonts w:ascii="Verdana" w:hAnsi="Verdana" w:cs="Verdana"/>
          <w:sz w:val="16"/>
          <w:szCs w:val="16"/>
        </w:rPr>
        <w:t>......................................................</w:t>
      </w:r>
      <w:r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I - ..................................................</w:t>
      </w:r>
      <w:r w:rsidR="00F33853"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a) IPVA e ITCD – 750 UAM</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b) ...................................................</w:t>
      </w:r>
      <w:r w:rsidR="00705A03"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II - ...................................................</w:t>
      </w:r>
      <w:r w:rsidR="00705A03"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a) do Poder Executivo – valor superior a 750 UAM</w:t>
      </w:r>
    </w:p>
    <w:p w:rsidR="006C1B19" w:rsidRPr="00B1135C" w:rsidRDefault="006C1B19" w:rsidP="006C1B19">
      <w:pPr>
        <w:autoSpaceDE w:val="0"/>
        <w:autoSpaceDN w:val="0"/>
        <w:adjustRightInd w:val="0"/>
        <w:spacing w:after="0" w:line="240" w:lineRule="auto"/>
        <w:ind w:left="2126"/>
        <w:jc w:val="both"/>
        <w:rPr>
          <w:rFonts w:ascii="Verdana" w:hAnsi="Verdana" w:cs="Verdana"/>
          <w:sz w:val="16"/>
          <w:szCs w:val="16"/>
        </w:rPr>
      </w:pPr>
      <w:r w:rsidRPr="00B1135C">
        <w:rPr>
          <w:rFonts w:ascii="Verdana" w:hAnsi="Verdana" w:cs="Verdana"/>
          <w:sz w:val="16"/>
          <w:szCs w:val="16"/>
        </w:rPr>
        <w:t>b) outros – valor superior a 750 UAM.” (</w:t>
      </w:r>
      <w:r w:rsidRPr="00B1135C">
        <w:rPr>
          <w:rFonts w:ascii="Verdana" w:hAnsi="Verdana" w:cs="Verdana"/>
          <w:b/>
          <w:sz w:val="16"/>
          <w:szCs w:val="16"/>
        </w:rPr>
        <w:t>NR</w:t>
      </w:r>
      <w:r w:rsidRPr="00B1135C">
        <w:rPr>
          <w:rFonts w:ascii="Verdana" w:hAnsi="Verdana" w:cs="Verdana"/>
          <w:sz w:val="16"/>
          <w:szCs w:val="16"/>
        </w:rPr>
        <w:t>)</w:t>
      </w:r>
    </w:p>
    <w:p w:rsidR="006C1B19" w:rsidRPr="00B1135C" w:rsidRDefault="006C1B19" w:rsidP="006C1B19">
      <w:pPr>
        <w:autoSpaceDE w:val="0"/>
        <w:autoSpaceDN w:val="0"/>
        <w:adjustRightInd w:val="0"/>
        <w:spacing w:after="0" w:line="240" w:lineRule="auto"/>
        <w:ind w:left="2124"/>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p>
    <w:p w:rsidR="006C1B19" w:rsidRPr="00B1135C" w:rsidRDefault="002242B7"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Art. 4</w:t>
      </w:r>
      <w:r w:rsidR="006C1B19" w:rsidRPr="00B1135C">
        <w:rPr>
          <w:rFonts w:ascii="Verdana" w:hAnsi="Verdana" w:cs="Verdana"/>
          <w:sz w:val="16"/>
          <w:szCs w:val="16"/>
        </w:rPr>
        <w:t>º. Acrescentar o art. 15-A ao Anexo XIII, da Resolução PGE/MS/Nº 194, de 23 de abril de 2010, com a seguinte redação:</w:t>
      </w:r>
    </w:p>
    <w:p w:rsidR="00F33853" w:rsidRPr="00B1135C" w:rsidRDefault="00F33853" w:rsidP="002242B7">
      <w:pPr>
        <w:autoSpaceDE w:val="0"/>
        <w:autoSpaceDN w:val="0"/>
        <w:adjustRightInd w:val="0"/>
        <w:spacing w:after="0" w:line="240" w:lineRule="auto"/>
        <w:ind w:left="2127"/>
        <w:jc w:val="both"/>
        <w:rPr>
          <w:rFonts w:ascii="Verdana" w:hAnsi="Verdana" w:cs="Verdana"/>
          <w:sz w:val="16"/>
          <w:szCs w:val="16"/>
        </w:rPr>
      </w:pPr>
    </w:p>
    <w:p w:rsidR="006C1B19" w:rsidRPr="00B1135C" w:rsidRDefault="006C1B19" w:rsidP="002242B7">
      <w:pPr>
        <w:autoSpaceDE w:val="0"/>
        <w:autoSpaceDN w:val="0"/>
        <w:adjustRightInd w:val="0"/>
        <w:spacing w:after="0" w:line="240" w:lineRule="auto"/>
        <w:ind w:left="2127"/>
        <w:jc w:val="both"/>
        <w:rPr>
          <w:rFonts w:ascii="Verdana" w:hAnsi="Verdana" w:cs="Verdana"/>
          <w:sz w:val="16"/>
          <w:szCs w:val="16"/>
        </w:rPr>
      </w:pPr>
      <w:r w:rsidRPr="00B1135C">
        <w:rPr>
          <w:rFonts w:ascii="Verdana" w:hAnsi="Verdana" w:cs="Verdana"/>
          <w:sz w:val="16"/>
          <w:szCs w:val="16"/>
        </w:rPr>
        <w:t>“Art. 15-A</w:t>
      </w:r>
      <w:r w:rsidR="00F33853" w:rsidRPr="00B1135C">
        <w:rPr>
          <w:rFonts w:ascii="Verdana" w:hAnsi="Verdana" w:cs="Verdana"/>
          <w:sz w:val="16"/>
          <w:szCs w:val="16"/>
        </w:rPr>
        <w:t>.</w:t>
      </w:r>
      <w:r w:rsidRPr="00B1135C">
        <w:rPr>
          <w:rFonts w:ascii="Verdana" w:hAnsi="Verdana" w:cs="Verdana"/>
          <w:sz w:val="16"/>
          <w:szCs w:val="16"/>
        </w:rPr>
        <w:t xml:space="preserve"> Fica autorizado o arquivamento, com fulcro no artigo 40, da Lei Federal nº 6.830, de 22 de setembro de 1980, independentemente de citação e de pesquisa cadastral e patrimonial dos processos de execução fiscal com valor inferior ao limite de ajuizamento previsto no art. 15 deste Anexo.” </w:t>
      </w: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p>
    <w:p w:rsidR="006C1B19" w:rsidRPr="00B1135C" w:rsidRDefault="002242B7"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Art. 5</w:t>
      </w:r>
      <w:r w:rsidR="006C1B19" w:rsidRPr="00B1135C">
        <w:rPr>
          <w:rFonts w:ascii="Verdana" w:hAnsi="Verdana" w:cs="Verdana"/>
          <w:sz w:val="16"/>
          <w:szCs w:val="16"/>
        </w:rPr>
        <w:t>º. Esta Resolução entra em vigor na data de sua publicação.</w:t>
      </w: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 xml:space="preserve">Campo Grande, MS, </w:t>
      </w:r>
      <w:r w:rsidR="00941083">
        <w:rPr>
          <w:rFonts w:ascii="Verdana" w:hAnsi="Verdana" w:cs="Verdana"/>
          <w:sz w:val="16"/>
          <w:szCs w:val="16"/>
        </w:rPr>
        <w:t xml:space="preserve">25 </w:t>
      </w:r>
      <w:r w:rsidRPr="00B1135C">
        <w:rPr>
          <w:rFonts w:ascii="Verdana" w:hAnsi="Verdana" w:cs="Verdana"/>
          <w:sz w:val="16"/>
          <w:szCs w:val="16"/>
        </w:rPr>
        <w:t>de novembro de 2013.</w:t>
      </w: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p>
    <w:p w:rsidR="006C1B19" w:rsidRDefault="006C1B19" w:rsidP="006C1B19">
      <w:pPr>
        <w:autoSpaceDE w:val="0"/>
        <w:autoSpaceDN w:val="0"/>
        <w:adjustRightInd w:val="0"/>
        <w:spacing w:after="0" w:line="240" w:lineRule="auto"/>
        <w:ind w:firstLine="1701"/>
        <w:jc w:val="both"/>
        <w:rPr>
          <w:rFonts w:ascii="Verdana" w:hAnsi="Verdana" w:cs="Verdana"/>
          <w:sz w:val="16"/>
          <w:szCs w:val="16"/>
        </w:rPr>
      </w:pPr>
    </w:p>
    <w:p w:rsidR="008C449D" w:rsidRDefault="008C449D" w:rsidP="006C1B19">
      <w:pPr>
        <w:autoSpaceDE w:val="0"/>
        <w:autoSpaceDN w:val="0"/>
        <w:adjustRightInd w:val="0"/>
        <w:spacing w:after="0" w:line="240" w:lineRule="auto"/>
        <w:ind w:firstLine="1701"/>
        <w:jc w:val="both"/>
        <w:rPr>
          <w:rFonts w:ascii="Verdana" w:hAnsi="Verdana" w:cs="Verdana"/>
          <w:sz w:val="16"/>
          <w:szCs w:val="16"/>
        </w:rPr>
      </w:pPr>
    </w:p>
    <w:p w:rsidR="00B1135C" w:rsidRPr="00B1135C" w:rsidRDefault="00B1135C" w:rsidP="006C1B19">
      <w:pPr>
        <w:autoSpaceDE w:val="0"/>
        <w:autoSpaceDN w:val="0"/>
        <w:adjustRightInd w:val="0"/>
        <w:spacing w:after="0" w:line="240" w:lineRule="auto"/>
        <w:ind w:firstLine="1701"/>
        <w:jc w:val="both"/>
        <w:rPr>
          <w:rFonts w:ascii="Verdana" w:hAnsi="Verdana" w:cs="Verdana"/>
          <w:sz w:val="16"/>
          <w:szCs w:val="16"/>
        </w:rPr>
      </w:pPr>
    </w:p>
    <w:p w:rsidR="006C1B19" w:rsidRPr="00B1135C" w:rsidRDefault="006C1B19"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 xml:space="preserve">Rafael </w:t>
      </w:r>
      <w:proofErr w:type="spellStart"/>
      <w:r w:rsidRPr="00B1135C">
        <w:rPr>
          <w:rFonts w:ascii="Verdana" w:hAnsi="Verdana" w:cs="Verdana"/>
          <w:sz w:val="16"/>
          <w:szCs w:val="16"/>
        </w:rPr>
        <w:t>Coldibelli</w:t>
      </w:r>
      <w:proofErr w:type="spellEnd"/>
      <w:r w:rsidRPr="00B1135C">
        <w:rPr>
          <w:rFonts w:ascii="Verdana" w:hAnsi="Verdana" w:cs="Verdana"/>
          <w:sz w:val="16"/>
          <w:szCs w:val="16"/>
        </w:rPr>
        <w:t xml:space="preserve"> Francisco</w:t>
      </w:r>
    </w:p>
    <w:p w:rsidR="006C1B19" w:rsidRDefault="006C1B19" w:rsidP="006C1B19">
      <w:pPr>
        <w:autoSpaceDE w:val="0"/>
        <w:autoSpaceDN w:val="0"/>
        <w:adjustRightInd w:val="0"/>
        <w:spacing w:after="0" w:line="240" w:lineRule="auto"/>
        <w:ind w:firstLine="1701"/>
        <w:jc w:val="both"/>
        <w:rPr>
          <w:rFonts w:ascii="Verdana" w:hAnsi="Verdana" w:cs="Verdana"/>
          <w:sz w:val="16"/>
          <w:szCs w:val="16"/>
        </w:rPr>
      </w:pPr>
      <w:r w:rsidRPr="00B1135C">
        <w:rPr>
          <w:rFonts w:ascii="Verdana" w:hAnsi="Verdana" w:cs="Verdana"/>
          <w:sz w:val="16"/>
          <w:szCs w:val="16"/>
        </w:rPr>
        <w:t>Procurador-Geral do Estado</w:t>
      </w:r>
    </w:p>
    <w:p w:rsidR="006C1B19" w:rsidRDefault="006C1B19" w:rsidP="006C1B19">
      <w:pPr>
        <w:autoSpaceDE w:val="0"/>
        <w:autoSpaceDN w:val="0"/>
        <w:adjustRightInd w:val="0"/>
        <w:spacing w:after="0" w:line="240" w:lineRule="auto"/>
        <w:ind w:firstLine="1701"/>
        <w:jc w:val="both"/>
        <w:rPr>
          <w:rFonts w:ascii="Verdana" w:hAnsi="Verdana" w:cs="Verdana"/>
          <w:sz w:val="16"/>
          <w:szCs w:val="16"/>
        </w:rPr>
      </w:pPr>
      <w:bookmarkStart w:id="0" w:name="_GoBack"/>
      <w:bookmarkEnd w:id="0"/>
    </w:p>
    <w:sectPr w:rsidR="006C1B19" w:rsidSect="000313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useFELayout/>
  </w:compat>
  <w:rsids>
    <w:rsidRoot w:val="00F67F51"/>
    <w:rsid w:val="00031309"/>
    <w:rsid w:val="00122A61"/>
    <w:rsid w:val="002242B7"/>
    <w:rsid w:val="0025332B"/>
    <w:rsid w:val="003B0676"/>
    <w:rsid w:val="00417ABD"/>
    <w:rsid w:val="004575E1"/>
    <w:rsid w:val="004F1C6F"/>
    <w:rsid w:val="004F6F0C"/>
    <w:rsid w:val="00527B0A"/>
    <w:rsid w:val="0061210D"/>
    <w:rsid w:val="006C1B19"/>
    <w:rsid w:val="00705A03"/>
    <w:rsid w:val="00840FDB"/>
    <w:rsid w:val="008C449D"/>
    <w:rsid w:val="00904606"/>
    <w:rsid w:val="00941083"/>
    <w:rsid w:val="009A0217"/>
    <w:rsid w:val="00A1029C"/>
    <w:rsid w:val="00AB7DBC"/>
    <w:rsid w:val="00AD2A5F"/>
    <w:rsid w:val="00B1135C"/>
    <w:rsid w:val="00B913A6"/>
    <w:rsid w:val="00BA3279"/>
    <w:rsid w:val="00E53667"/>
    <w:rsid w:val="00E57631"/>
    <w:rsid w:val="00E67AAF"/>
    <w:rsid w:val="00F33853"/>
    <w:rsid w:val="00F67F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AD32B-7560-499F-AED0-99F67CCB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SGI</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thaís</dc:creator>
  <cp:lastModifiedBy>jucineide</cp:lastModifiedBy>
  <cp:revision>4</cp:revision>
  <cp:lastPrinted>2013-11-22T20:39:00Z</cp:lastPrinted>
  <dcterms:created xsi:type="dcterms:W3CDTF">2013-11-25T13:49:00Z</dcterms:created>
  <dcterms:modified xsi:type="dcterms:W3CDTF">2013-11-25T13:50:00Z</dcterms:modified>
</cp:coreProperties>
</file>