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F6" w:rsidRPr="00295EF6" w:rsidRDefault="00E229F6" w:rsidP="00E229F6">
      <w:pPr>
        <w:autoSpaceDE w:val="0"/>
        <w:autoSpaceDN w:val="0"/>
        <w:adjustRightInd w:val="0"/>
        <w:rPr>
          <w:rFonts w:ascii="Verdana" w:hAnsi="Verdana"/>
          <w:b/>
          <w:color w:val="000000"/>
          <w:sz w:val="16"/>
          <w:szCs w:val="16"/>
        </w:rPr>
      </w:pPr>
      <w:r w:rsidRPr="00295EF6">
        <w:rPr>
          <w:rFonts w:ascii="Verdana" w:hAnsi="Verdana"/>
          <w:b/>
          <w:color w:val="000000"/>
          <w:sz w:val="16"/>
          <w:szCs w:val="16"/>
        </w:rPr>
        <w:t>RESOLUÇÃO PGE/MS/N.º 223, DE</w:t>
      </w:r>
      <w:r w:rsidR="00295EF6" w:rsidRPr="00295EF6">
        <w:rPr>
          <w:rFonts w:ascii="Verdana" w:hAnsi="Verdana"/>
          <w:b/>
          <w:color w:val="000000"/>
          <w:sz w:val="16"/>
          <w:szCs w:val="16"/>
        </w:rPr>
        <w:t xml:space="preserve"> 11 DE NOVEMBRO</w:t>
      </w:r>
      <w:r w:rsidRPr="00295EF6">
        <w:rPr>
          <w:rFonts w:ascii="Verdana" w:hAnsi="Verdana"/>
          <w:b/>
          <w:color w:val="000000"/>
          <w:sz w:val="16"/>
          <w:szCs w:val="16"/>
        </w:rPr>
        <w:t xml:space="preserve"> </w:t>
      </w:r>
      <w:proofErr w:type="gramStart"/>
      <w:r w:rsidRPr="00295EF6">
        <w:rPr>
          <w:rFonts w:ascii="Verdana" w:hAnsi="Verdana"/>
          <w:b/>
          <w:color w:val="000000"/>
          <w:sz w:val="16"/>
          <w:szCs w:val="16"/>
        </w:rPr>
        <w:t>2014</w:t>
      </w:r>
      <w:proofErr w:type="gramEnd"/>
    </w:p>
    <w:p w:rsidR="00E229F6" w:rsidRPr="00295EF6" w:rsidRDefault="00E229F6" w:rsidP="00E229F6">
      <w:pPr>
        <w:autoSpaceDE w:val="0"/>
        <w:autoSpaceDN w:val="0"/>
        <w:adjustRightInd w:val="0"/>
        <w:rPr>
          <w:rFonts w:ascii="Verdana" w:hAnsi="Verdana"/>
          <w:b/>
          <w:color w:val="000000"/>
          <w:sz w:val="16"/>
          <w:szCs w:val="16"/>
        </w:rPr>
      </w:pPr>
    </w:p>
    <w:p w:rsidR="00E229F6" w:rsidRPr="00361421" w:rsidRDefault="00361421" w:rsidP="00117C6B">
      <w:pPr>
        <w:autoSpaceDE w:val="0"/>
        <w:autoSpaceDN w:val="0"/>
        <w:adjustRightInd w:val="0"/>
        <w:ind w:left="3686"/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 xml:space="preserve">                                      </w:t>
      </w:r>
      <w:r w:rsidR="00117C6B">
        <w:rPr>
          <w:rFonts w:ascii="Verdana" w:hAnsi="Verdana"/>
          <w:i/>
          <w:color w:val="000000"/>
          <w:sz w:val="16"/>
          <w:szCs w:val="16"/>
        </w:rPr>
        <w:t xml:space="preserve">                        </w:t>
      </w:r>
      <w:r w:rsidR="00E229F6" w:rsidRPr="00361421">
        <w:rPr>
          <w:rFonts w:ascii="Verdana" w:hAnsi="Verdana"/>
          <w:i/>
          <w:color w:val="000000"/>
          <w:sz w:val="16"/>
          <w:szCs w:val="16"/>
        </w:rPr>
        <w:t xml:space="preserve">Regulamenta os procedimentos para </w:t>
      </w:r>
      <w:r w:rsidR="00117C6B">
        <w:rPr>
          <w:rFonts w:ascii="Verdana" w:hAnsi="Verdana"/>
          <w:i/>
          <w:color w:val="000000"/>
          <w:sz w:val="16"/>
          <w:szCs w:val="16"/>
        </w:rPr>
        <w:t xml:space="preserve">       </w:t>
      </w:r>
      <w:r w:rsidR="00E229F6" w:rsidRPr="00361421">
        <w:rPr>
          <w:rFonts w:ascii="Verdana" w:hAnsi="Verdana"/>
          <w:i/>
          <w:color w:val="000000"/>
          <w:sz w:val="16"/>
          <w:szCs w:val="16"/>
        </w:rPr>
        <w:t>promoções, por</w:t>
      </w:r>
      <w:r>
        <w:rPr>
          <w:rFonts w:ascii="Verdana" w:hAnsi="Verdana"/>
          <w:i/>
          <w:color w:val="000000"/>
          <w:sz w:val="16"/>
          <w:szCs w:val="16"/>
        </w:rPr>
        <w:t xml:space="preserve"> </w:t>
      </w:r>
      <w:r w:rsidR="00E229F6" w:rsidRPr="00361421">
        <w:rPr>
          <w:rFonts w:ascii="Verdana" w:hAnsi="Verdana"/>
          <w:i/>
          <w:color w:val="000000"/>
          <w:sz w:val="16"/>
          <w:szCs w:val="16"/>
        </w:rPr>
        <w:t>antiguidade e por merecimento, na carreira de Procurador do Estado.</w:t>
      </w:r>
    </w:p>
    <w:p w:rsidR="00E229F6" w:rsidRPr="008D6FA8" w:rsidRDefault="00E229F6" w:rsidP="00117C6B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E229F6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4C6C90">
      <w:pPr>
        <w:tabs>
          <w:tab w:val="left" w:pos="1418"/>
        </w:tabs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 xml:space="preserve">O </w:t>
      </w:r>
      <w:r w:rsidRPr="0033781F">
        <w:rPr>
          <w:rFonts w:ascii="Verdana" w:hAnsi="Verdana"/>
          <w:b/>
          <w:color w:val="000000"/>
          <w:sz w:val="16"/>
          <w:szCs w:val="16"/>
        </w:rPr>
        <w:t>PROCURADOR-GERAL DO ESTADO DE MATO GROSSO DO SUL</w:t>
      </w:r>
      <w:r w:rsidRPr="008D6FA8">
        <w:rPr>
          <w:rFonts w:ascii="Verdana" w:hAnsi="Verdana"/>
          <w:color w:val="000000"/>
          <w:sz w:val="16"/>
          <w:szCs w:val="16"/>
        </w:rPr>
        <w:t>, no uso das atribuições conferidas pela Lei Complementar (Estadual) n. º 95, de 26 de dezembro de 2001 (LOPGE); e,</w:t>
      </w:r>
    </w:p>
    <w:p w:rsidR="00E229F6" w:rsidRPr="008D6FA8" w:rsidRDefault="00E229F6" w:rsidP="00E229F6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E229F6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4C6C90">
      <w:pPr>
        <w:tabs>
          <w:tab w:val="left" w:pos="1560"/>
        </w:tabs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Considerando a necessidade de estabelecer critérios a serem observados nas promoções na carreira de Procurador do Estado,</w:t>
      </w:r>
    </w:p>
    <w:p w:rsidR="00E229F6" w:rsidRPr="008D6FA8" w:rsidRDefault="00E229F6" w:rsidP="00E229F6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E229F6" w:rsidRPr="009E4B29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b/>
          <w:color w:val="000000"/>
          <w:sz w:val="16"/>
          <w:szCs w:val="16"/>
        </w:rPr>
      </w:pPr>
      <w:r w:rsidRPr="009E4B29">
        <w:rPr>
          <w:rFonts w:ascii="Verdana" w:hAnsi="Verdana"/>
          <w:b/>
          <w:color w:val="000000"/>
          <w:sz w:val="16"/>
          <w:szCs w:val="16"/>
        </w:rPr>
        <w:t>RESOLVE:</w:t>
      </w:r>
    </w:p>
    <w:p w:rsidR="00E229F6" w:rsidRPr="008D6FA8" w:rsidRDefault="00E229F6" w:rsidP="00E229F6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E229F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CAPÍTULO I</w:t>
      </w:r>
    </w:p>
    <w:p w:rsidR="00E229F6" w:rsidRPr="008D6FA8" w:rsidRDefault="00E229F6" w:rsidP="00E229F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DAS DISPOSIÇÕES GERAIS</w:t>
      </w:r>
    </w:p>
    <w:p w:rsidR="00E229F6" w:rsidRPr="008D6FA8" w:rsidRDefault="00E229F6" w:rsidP="00E229F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Art. 1º. Estabelecer, observadas as disposições contidas na Lei Complementar (Estadual) n. º 95, de 26 de dezembro de 2001 (LOPGE), procedimentos para as promoções na carreira de Procurador do Estado.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4C6C90">
      <w:pPr>
        <w:tabs>
          <w:tab w:val="left" w:pos="1418"/>
        </w:tabs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Art. 2º. A lista de antiguidade, publicada na imprensa oficial semestralmente nos termos do § 1º do art. 50 da LOPGE, servirá de base para as promoções na carreira de Procurador do Estado.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§ 1º As reclamações contra a lista de antiguidade deverão ser apresentadas ao Conselho Superior no prazo de 10 (dez) dias contados a partir da publicação.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§ 2º A lista de antiguidade será republicada, de ofício, para correção de erro material ou a requerimento fundamentado de interessado, que implique alteração de sua colocação na ordem de antiguidade.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 xml:space="preserve">§ 3º As situações ocorridas após a publicação da lista de antiguidade e que impliquem </w:t>
      </w:r>
      <w:r w:rsidR="00C53C47">
        <w:rPr>
          <w:rFonts w:ascii="Verdana" w:hAnsi="Verdana"/>
          <w:color w:val="000000"/>
          <w:sz w:val="16"/>
          <w:szCs w:val="16"/>
        </w:rPr>
        <w:t>n</w:t>
      </w:r>
      <w:r w:rsidRPr="008D6FA8">
        <w:rPr>
          <w:rFonts w:ascii="Verdana" w:hAnsi="Verdana"/>
          <w:color w:val="000000"/>
          <w:sz w:val="16"/>
          <w:szCs w:val="16"/>
        </w:rPr>
        <w:t xml:space="preserve">a sua alteração, tais como afastamento, promoção, aposentadoria, rompimento de vínculo com a carreira, averbação de tempo de serviço público, dentre outras, serão consideradas </w:t>
      </w:r>
      <w:r w:rsidRPr="008D6FA8">
        <w:rPr>
          <w:rFonts w:ascii="Verdana" w:hAnsi="Verdana"/>
          <w:sz w:val="16"/>
          <w:szCs w:val="16"/>
        </w:rPr>
        <w:t>até a data da publicação do edital de abertura do processo administrativo de promoção.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4C6C90">
      <w:pPr>
        <w:tabs>
          <w:tab w:val="left" w:pos="1560"/>
        </w:tabs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Art. 3º. A promoção é ato do Governador, processada pelo Conselho Superior da Procuradoria-Geral do Estado, e far-se-á pelos critérios de antiguidade e de merecimento, alternadamente em cada categoria da carreira de Procurador do Estado.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Art. 4º. O processo administrativo de promoção será instaurado por edital de convocação extraordinária do Conselho Superior, devidamente publicado na imprensa oficial, para deliberação sobre cada promoção e será instruído com cópia da última lista de antiguidade.</w:t>
      </w:r>
    </w:p>
    <w:p w:rsidR="00E229F6" w:rsidRPr="008D6FA8" w:rsidRDefault="00E229F6" w:rsidP="00E229F6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E229F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CAPÍTULO II</w:t>
      </w:r>
    </w:p>
    <w:p w:rsidR="00E229F6" w:rsidRPr="008D6FA8" w:rsidRDefault="00E229F6" w:rsidP="00E229F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DA PROMOÇÃO POR ANTIGUIDADE</w:t>
      </w:r>
    </w:p>
    <w:p w:rsidR="00E229F6" w:rsidRPr="008D6FA8" w:rsidRDefault="00E229F6" w:rsidP="00E229F6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4C6C90">
      <w:pPr>
        <w:tabs>
          <w:tab w:val="left" w:pos="1560"/>
        </w:tabs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Art. 5º. Instaurado o processo administrativo de promoção por antiguidade, o Presidente do Conselho Superior designará relator, que indicará o Procurador do Estado mais antigo na categoria em que ocorrerá a promoção, na sessão extraordinária do Conselho Superior.</w:t>
      </w:r>
    </w:p>
    <w:p w:rsidR="00E229F6" w:rsidRPr="008D6FA8" w:rsidRDefault="00E229F6" w:rsidP="00404059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§ 1º O relatório deverá conter verificação da lista de antiguidade e a constatação da ocorrência ou não dos fatos a que alude o § 3º do art. 2º desta Resolução, sendo submetido à deliberação do Conselho Superior.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§ 2º Qualquer impugnação à deliberação de que trata o parágrafo anterior poderá ser apresentada oralmente, no prazo a ser estabelecido pelo Presidente do Conselho Superior, na mesma sessão extraordinária, sendo decidida imediatamente pelo Conselho Superior.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§ 3º Após deliberação e resolvidos quaisquer incidentes, o Presidente do Conselho Superior encaminhará expediente de promoção por antiguidade ao Governador do Estado.</w:t>
      </w:r>
    </w:p>
    <w:p w:rsidR="00E229F6" w:rsidRPr="008D6FA8" w:rsidRDefault="00E229F6" w:rsidP="00E229F6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4C6C90" w:rsidRDefault="004C6C90" w:rsidP="00E229F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</w:p>
    <w:p w:rsidR="004C6C90" w:rsidRDefault="004C6C90" w:rsidP="00E229F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E229F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lastRenderedPageBreak/>
        <w:t>CAPÍTULO III</w:t>
      </w:r>
    </w:p>
    <w:p w:rsidR="00E229F6" w:rsidRPr="008D6FA8" w:rsidRDefault="00E229F6" w:rsidP="00E229F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DA PROMOÇÃO POR MERECIMENTO</w:t>
      </w:r>
    </w:p>
    <w:p w:rsidR="00E229F6" w:rsidRPr="008D6FA8" w:rsidRDefault="00E229F6" w:rsidP="00E229F6">
      <w:pPr>
        <w:autoSpaceDE w:val="0"/>
        <w:autoSpaceDN w:val="0"/>
        <w:adjustRightInd w:val="0"/>
        <w:jc w:val="center"/>
        <w:rPr>
          <w:rFonts w:ascii="Verdana" w:hAnsi="Verdana"/>
          <w:i/>
          <w:color w:val="000000"/>
          <w:sz w:val="16"/>
          <w:szCs w:val="16"/>
        </w:rPr>
      </w:pPr>
    </w:p>
    <w:p w:rsidR="00E229F6" w:rsidRPr="008D6FA8" w:rsidRDefault="00E229F6" w:rsidP="00E229F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Seção I</w:t>
      </w:r>
    </w:p>
    <w:p w:rsidR="00E229F6" w:rsidRPr="008D6FA8" w:rsidRDefault="00E229F6" w:rsidP="00E229F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Das Providências Preliminares</w:t>
      </w:r>
    </w:p>
    <w:p w:rsidR="00E229F6" w:rsidRPr="008D6FA8" w:rsidRDefault="00E229F6" w:rsidP="00E229F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Art. 6º. Instaurado o processo administrativo de promoção por merecimento pelo Presidente do Conselho Superior serão adotadas, sucessivamente, as seguintes providências: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I - juntada aos autos pela Coordenadoria da Procuradoria-Geral Estado (COPGE) da documentação relativa aos Procuradores do Estado, pertencentes à categoria em que ocorrerá a promoção, que estejam nas situações previstas no art. 52, § 4º, da LOPGE, ou outras situações que impliquem a alteração da lista de antiguidade;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II - apuração pela </w:t>
      </w:r>
      <w:proofErr w:type="spellStart"/>
      <w:r w:rsidRPr="008D6FA8">
        <w:rPr>
          <w:rFonts w:ascii="Verdana" w:hAnsi="Verdana"/>
          <w:sz w:val="16"/>
          <w:szCs w:val="16"/>
        </w:rPr>
        <w:t>Corregedoria-Geral</w:t>
      </w:r>
      <w:proofErr w:type="spellEnd"/>
      <w:r w:rsidRPr="008D6FA8">
        <w:rPr>
          <w:rFonts w:ascii="Verdana" w:hAnsi="Verdana"/>
          <w:sz w:val="16"/>
          <w:szCs w:val="16"/>
        </w:rPr>
        <w:t xml:space="preserve"> da Procuradoria-Geral do Estado (CGPGE) da relação dos ocupantes dos dois primeiros terços da lista de antiguidade que tenham, pelo menos, o interstício de dois anos de efetivo exercício na categoria, salvo se não houver quem preencha tal requisito, observada a ocorrência ou não dos fatos a que alude o § 3º do art. 2º desta Resolução, a qual deverá ainda estar acompanhada de relação nominal dos Procuradores do Estado que foram excluídos da promoção por merecimento, com os respectivos fundamentos legais ou regulamentares;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 xml:space="preserve">III - homologação pelo Presidente do Conselho Superior da relação apresentada dos Procuradores do Estado aptos a serem </w:t>
      </w:r>
      <w:proofErr w:type="gramStart"/>
      <w:r w:rsidRPr="008D6FA8">
        <w:rPr>
          <w:rFonts w:ascii="Verdana" w:hAnsi="Verdana"/>
          <w:color w:val="000000"/>
          <w:sz w:val="16"/>
          <w:szCs w:val="16"/>
        </w:rPr>
        <w:t>votados e posterior</w:t>
      </w:r>
      <w:proofErr w:type="gramEnd"/>
      <w:r w:rsidRPr="008D6FA8">
        <w:rPr>
          <w:rFonts w:ascii="Verdana" w:hAnsi="Verdana"/>
          <w:color w:val="000000"/>
          <w:sz w:val="16"/>
          <w:szCs w:val="16"/>
        </w:rPr>
        <w:t xml:space="preserve"> publicação na imprensa oficial, assinalado o prazo de 2 (dois) dias para impugnação por qualquer interessado, cuja decisão compete ao Conselho Superior;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IV - republicação da relação de que trata o inciso anterior, caso ocorra alteração dos Procuradores do Estado aptos a serem votados pelos membros do Conselho Superior, mesmo que a alteração decorra de ato de ofício;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 xml:space="preserve">V - preparação pela </w:t>
      </w:r>
      <w:proofErr w:type="spellStart"/>
      <w:r w:rsidRPr="008D6FA8">
        <w:rPr>
          <w:rFonts w:ascii="Verdana" w:hAnsi="Verdana"/>
          <w:color w:val="000000"/>
          <w:sz w:val="16"/>
          <w:szCs w:val="16"/>
        </w:rPr>
        <w:t>Corregedoria-Geral</w:t>
      </w:r>
      <w:proofErr w:type="spellEnd"/>
      <w:r w:rsidRPr="008D6FA8">
        <w:rPr>
          <w:rFonts w:ascii="Verdana" w:hAnsi="Verdana"/>
          <w:color w:val="000000"/>
          <w:sz w:val="16"/>
          <w:szCs w:val="16"/>
        </w:rPr>
        <w:t xml:space="preserve"> da PGE das informações acerca do mérito de cada Procurador do Estado que concorre à vaga de promoção, consoante estabelece o art. 51 da LOPGE, devendo ser disponibilizadas aos membros do Conselho Superior no prazo mínimo de </w:t>
      </w:r>
      <w:proofErr w:type="gramStart"/>
      <w:r w:rsidRPr="008D6FA8">
        <w:rPr>
          <w:rFonts w:ascii="Verdana" w:hAnsi="Verdana"/>
          <w:color w:val="000000"/>
          <w:sz w:val="16"/>
          <w:szCs w:val="16"/>
        </w:rPr>
        <w:t>5</w:t>
      </w:r>
      <w:proofErr w:type="gramEnd"/>
      <w:r w:rsidRPr="008D6FA8">
        <w:rPr>
          <w:rFonts w:ascii="Verdana" w:hAnsi="Verdana"/>
          <w:color w:val="000000"/>
          <w:sz w:val="16"/>
          <w:szCs w:val="16"/>
        </w:rPr>
        <w:t xml:space="preserve"> (cinco) dias antes da sessão extraordinária.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933CEB">
        <w:rPr>
          <w:rFonts w:ascii="Verdana" w:hAnsi="Verdana"/>
          <w:sz w:val="16"/>
          <w:szCs w:val="16"/>
        </w:rPr>
        <w:t>Parágrafo único</w:t>
      </w:r>
      <w:r w:rsidRPr="008D6FA8">
        <w:rPr>
          <w:rFonts w:ascii="Verdana" w:hAnsi="Verdana"/>
          <w:sz w:val="16"/>
          <w:szCs w:val="16"/>
        </w:rPr>
        <w:t xml:space="preserve">. </w:t>
      </w:r>
      <w:r w:rsidRPr="008D6FA8">
        <w:rPr>
          <w:rFonts w:ascii="Verdana" w:hAnsi="Verdana"/>
          <w:color w:val="000000"/>
          <w:sz w:val="16"/>
          <w:szCs w:val="16"/>
        </w:rPr>
        <w:t>Para os efeitos do disposto no inciso II, deste artigo, na apuração dos dois terços dos ocupantes de determinada categoria de Procuradores do Estado, considerar-se-á, na hipótese de fração, a aproximação para o número inteiro imediatamente superior.</w:t>
      </w:r>
    </w:p>
    <w:p w:rsidR="00E229F6" w:rsidRPr="008D6FA8" w:rsidRDefault="00E229F6" w:rsidP="00E229F6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E229F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Seção II</w:t>
      </w:r>
    </w:p>
    <w:p w:rsidR="00E229F6" w:rsidRPr="008D6FA8" w:rsidRDefault="00E229F6" w:rsidP="00E229F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Dos Critérios para Aferição do Merecimento</w:t>
      </w:r>
    </w:p>
    <w:p w:rsidR="00E229F6" w:rsidRPr="008D6FA8" w:rsidRDefault="00E229F6" w:rsidP="00E229F6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4C6C90">
      <w:pPr>
        <w:tabs>
          <w:tab w:val="left" w:pos="1560"/>
        </w:tabs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 xml:space="preserve">Art. 7º. Em atenção ao art. 51, da LOPGE, as informações da </w:t>
      </w:r>
      <w:proofErr w:type="spellStart"/>
      <w:r w:rsidRPr="008D6FA8">
        <w:rPr>
          <w:rFonts w:ascii="Verdana" w:hAnsi="Verdana"/>
          <w:color w:val="000000"/>
          <w:sz w:val="16"/>
          <w:szCs w:val="16"/>
        </w:rPr>
        <w:t>Corregedoria-Geral</w:t>
      </w:r>
      <w:proofErr w:type="spellEnd"/>
      <w:r w:rsidRPr="008D6FA8">
        <w:rPr>
          <w:rFonts w:ascii="Verdana" w:hAnsi="Verdana"/>
          <w:color w:val="000000"/>
          <w:sz w:val="16"/>
          <w:szCs w:val="16"/>
        </w:rPr>
        <w:t xml:space="preserve"> da Procuradoria-Geral do Estado serão prestadas em forma de relatório, que atenda aos seguintes critérios: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I - desempenho no exercício das atribuições próprias do cargo, conforme os incisos I, II e IX do referido art. 51;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II - a iniciativa, assiduidade, dedicação, pontualidade, eficiência, presteza e contribuição à organização e à melhoria dos serviços no cumprimento das obrigações funcionais, conforme os incisos III, IV e VII do referido art. 51;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III - a disciplina e a conduta pessoal, social e funcional, conforme os incisos V e VI, do referido art. 51;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IV - aprimoramento da cultura jurídica e desempenho jurídico, conforme o inciso VIII do referido art. 51.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  <w:highlight w:val="yellow"/>
        </w:rPr>
      </w:pPr>
      <w:r w:rsidRPr="000029F4">
        <w:rPr>
          <w:rFonts w:ascii="Verdana" w:hAnsi="Verdana"/>
          <w:color w:val="000000"/>
          <w:sz w:val="16"/>
          <w:szCs w:val="16"/>
        </w:rPr>
        <w:t>Parágrafo único</w:t>
      </w:r>
      <w:r w:rsidRPr="008D6FA8">
        <w:rPr>
          <w:rFonts w:ascii="Verdana" w:hAnsi="Verdana"/>
          <w:color w:val="000000"/>
          <w:sz w:val="16"/>
          <w:szCs w:val="16"/>
        </w:rPr>
        <w:t xml:space="preserve">. </w:t>
      </w:r>
      <w:r w:rsidRPr="008D6FA8">
        <w:rPr>
          <w:rFonts w:ascii="Verdana" w:hAnsi="Verdana"/>
          <w:sz w:val="16"/>
          <w:szCs w:val="16"/>
        </w:rPr>
        <w:t xml:space="preserve">Para elaboração do relatório e demais providências previstas nesta Resolução, serão </w:t>
      </w:r>
      <w:proofErr w:type="gramStart"/>
      <w:r w:rsidRPr="008D6FA8">
        <w:rPr>
          <w:rFonts w:ascii="Verdana" w:hAnsi="Verdana"/>
          <w:sz w:val="16"/>
          <w:szCs w:val="16"/>
        </w:rPr>
        <w:t>verificados</w:t>
      </w:r>
      <w:proofErr w:type="gramEnd"/>
      <w:r w:rsidRPr="008D6FA8">
        <w:rPr>
          <w:rFonts w:ascii="Verdana" w:hAnsi="Verdana"/>
          <w:sz w:val="16"/>
          <w:szCs w:val="16"/>
        </w:rPr>
        <w:t xml:space="preserve"> os eventos contidos na ficha funcional ocorridos no período compreendido entre o primeiro dia posterior à promoção anterior por merecimento do Procurador do Estado ou de seu ingresso na carreira, no caso de Procurador do Estado que nunca tenha sido promovido por merecimento, até a data da publicação do edital de abertura do processo administrativo de promoção.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</w:p>
    <w:p w:rsidR="00E229F6" w:rsidRPr="008D6FA8" w:rsidRDefault="00E229F6" w:rsidP="004C6C90">
      <w:pPr>
        <w:tabs>
          <w:tab w:val="left" w:pos="1701"/>
        </w:tabs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Art. 8º. O desempenho no exercício das atribuições próprias do cargo, entre outros elementos</w:t>
      </w:r>
      <w:r w:rsidRPr="008D6FA8">
        <w:rPr>
          <w:rFonts w:ascii="Verdana" w:hAnsi="Verdana"/>
          <w:b/>
          <w:i/>
          <w:sz w:val="16"/>
          <w:szCs w:val="16"/>
        </w:rPr>
        <w:t>,</w:t>
      </w:r>
      <w:r w:rsidRPr="008D6FA8">
        <w:rPr>
          <w:rFonts w:ascii="Verdana" w:hAnsi="Verdana"/>
          <w:sz w:val="16"/>
          <w:szCs w:val="16"/>
        </w:rPr>
        <w:t xml:space="preserve"> será apurado com base em trabalhos realizados e à vista do relatório mensal de atividades.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I - a qualidade do trabalho, a que se referem os incisos I e IX, do art. 51, da LOPGE, será aferida conforme a correção das tarefas desempenhadas, exatidão, clareza e ordem do raciocínio, a utilização correta de recursos disponíveis, como a pertinência da doutrina e jurisprudência eventualmente citadas;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II - a produtividade será aferida conforme o acervo e o fluxo processual a cargo do Procurador e participações em audiências e reuniões relacionadas ao trabalho no setor em que se encontra lotado.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F1472B">
        <w:rPr>
          <w:rFonts w:ascii="Verdana" w:hAnsi="Verdana"/>
          <w:sz w:val="16"/>
          <w:szCs w:val="16"/>
        </w:rPr>
        <w:lastRenderedPageBreak/>
        <w:t>Parágrafo único</w:t>
      </w:r>
      <w:r w:rsidRPr="008D6FA8">
        <w:rPr>
          <w:rFonts w:ascii="Verdana" w:hAnsi="Verdana"/>
          <w:sz w:val="16"/>
          <w:szCs w:val="16"/>
        </w:rPr>
        <w:t xml:space="preserve">. Para os efeitos deste artigo, deverão os Procuradores encaminhar junto ao relatório </w:t>
      </w:r>
      <w:proofErr w:type="gramStart"/>
      <w:r w:rsidRPr="008D6FA8">
        <w:rPr>
          <w:rFonts w:ascii="Verdana" w:hAnsi="Verdana"/>
          <w:sz w:val="16"/>
          <w:szCs w:val="16"/>
        </w:rPr>
        <w:t>mensal de atividades peças processuais</w:t>
      </w:r>
      <w:proofErr w:type="gramEnd"/>
      <w:r w:rsidRPr="008D6FA8">
        <w:rPr>
          <w:rFonts w:ascii="Verdana" w:hAnsi="Verdana"/>
          <w:sz w:val="16"/>
          <w:szCs w:val="16"/>
        </w:rPr>
        <w:t>, manifestações ou pareceres jurídicos que tenham confeccionado, limitada a juntada de apenas 01 (um) trabalho representativo por mês.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Art. 9º. A iniciativa, assiduidade, dedicação, pontualidade, eficiência, presteza e contribuição à organização e à melhoria dos serviços no cumprimento das obrigações funcionais, sem prejuízo de eventuais procedimentos em curso na </w:t>
      </w:r>
      <w:proofErr w:type="spellStart"/>
      <w:r w:rsidRPr="008D6FA8">
        <w:rPr>
          <w:rFonts w:ascii="Verdana" w:hAnsi="Verdana"/>
          <w:sz w:val="16"/>
          <w:szCs w:val="16"/>
        </w:rPr>
        <w:t>Corregedoria-Geral</w:t>
      </w:r>
      <w:proofErr w:type="spellEnd"/>
      <w:r w:rsidRPr="008D6FA8">
        <w:rPr>
          <w:rFonts w:ascii="Verdana" w:hAnsi="Verdana"/>
          <w:sz w:val="16"/>
          <w:szCs w:val="16"/>
        </w:rPr>
        <w:t xml:space="preserve"> da PGE, poderão ser </w:t>
      </w:r>
      <w:proofErr w:type="gramStart"/>
      <w:r w:rsidRPr="008D6FA8">
        <w:rPr>
          <w:rFonts w:ascii="Verdana" w:hAnsi="Verdana"/>
          <w:sz w:val="16"/>
          <w:szCs w:val="16"/>
        </w:rPr>
        <w:t>apurados</w:t>
      </w:r>
      <w:proofErr w:type="gramEnd"/>
      <w:r w:rsidRPr="008D6FA8">
        <w:rPr>
          <w:rFonts w:ascii="Verdana" w:hAnsi="Verdana"/>
          <w:sz w:val="16"/>
          <w:szCs w:val="16"/>
        </w:rPr>
        <w:t xml:space="preserve">, de forma cumulada, entre outros, à vista dos seguintes elementos: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I - aptidão para tomar decisões e a dedicação no desempenho de suas atribuições e na resolução de problemas de rotina ou imprevistos;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II - apresentação de propostas novas e assunção, de forma independente, de desafios, responsabilidades e liderança de trabalhos em relação aos colegas e chefias;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III - cumulação efetiva de atribuições no âmbito interno da Procuradoria-Geral do Estado, como a decorrente de substituições de Chefias, ou pelo aumento esporádico do volume de processos em decorrência de afastamento ou de impedimento de Procurador do Estado, sem prejuízo de suas funções.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IV - participação em comissões de trabalhos em órgão público ou privado, como representante da Procuradoria-Geral do Estado ou do Estado de Mato Grosso do Sul;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V - participação em órgãos de deliberação coletiva do Estado;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VI - atuação voluntária na </w:t>
      </w:r>
      <w:proofErr w:type="spellStart"/>
      <w:r w:rsidRPr="008D6FA8">
        <w:rPr>
          <w:rFonts w:ascii="Verdana" w:hAnsi="Verdana"/>
          <w:sz w:val="16"/>
          <w:szCs w:val="16"/>
        </w:rPr>
        <w:t>Corregedoria-Geral</w:t>
      </w:r>
      <w:proofErr w:type="spellEnd"/>
      <w:r w:rsidRPr="008D6FA8">
        <w:rPr>
          <w:rFonts w:ascii="Verdana" w:hAnsi="Verdana"/>
          <w:sz w:val="16"/>
          <w:szCs w:val="16"/>
        </w:rPr>
        <w:t xml:space="preserve"> da PGE, sem prejuízo das funções;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VII - participação, como expositor ou debatedor, em cursos oficiais na PGE ou em congressos, conferências ou simpósios jurídicos realizados por entidades reconhecidas, desde que na condição de Procurador do Estado;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VIII - participação, como expositor ou ouvinte, nos eventos jurídicos internos promovidos pela Escola Superior da Procuradoria-Geral do Estado;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IX- participação na instrução e na elaboração de relatório final em Sindicância ou em comissão de Processo Administrativo Disciplinar;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X - participação como integrante de Comissão Organizadora ou de Banca Examinadora de Concurso Público para ingresso na carreira de Procurador do Estado.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Art. 10. A disciplina e a conduta pessoal, social e funcional serão apuradas, entre outros elementos, com base: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I - no respeito às leis e às normas disciplinares;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II - no cumprimento de ordens legais recebidas;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III - no relacionamento com o público, colegas e superiores;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IV - no caráter ético demonstrado na execução de tarefas com probidade, lealdade, </w:t>
      </w:r>
      <w:proofErr w:type="gramStart"/>
      <w:r w:rsidRPr="008D6FA8">
        <w:rPr>
          <w:rFonts w:ascii="Verdana" w:hAnsi="Verdana"/>
          <w:sz w:val="16"/>
          <w:szCs w:val="16"/>
        </w:rPr>
        <w:t>cortesia, decoro</w:t>
      </w:r>
      <w:proofErr w:type="gramEnd"/>
      <w:r w:rsidRPr="008D6FA8">
        <w:rPr>
          <w:rFonts w:ascii="Verdana" w:hAnsi="Verdana"/>
          <w:sz w:val="16"/>
          <w:szCs w:val="16"/>
        </w:rPr>
        <w:t xml:space="preserve"> e zelo;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V - no uso adequado dos equipamentos de serviço.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F815DE">
        <w:rPr>
          <w:rFonts w:ascii="Verdana" w:hAnsi="Verdana"/>
          <w:sz w:val="16"/>
          <w:szCs w:val="16"/>
        </w:rPr>
        <w:t>Parágrafo único</w:t>
      </w:r>
      <w:r w:rsidRPr="008D6FA8">
        <w:rPr>
          <w:rFonts w:ascii="Verdana" w:hAnsi="Verdana"/>
          <w:sz w:val="16"/>
          <w:szCs w:val="16"/>
        </w:rPr>
        <w:t>. Serão consideradas negativamente sanções disciplinares aplicadas no período de avaliação, definido no parágrafo único do art. 7º, desde que já tenha ocorrido o trânsito em julgado da decisão e não tenha sido efetivada a reabilitação, nos termos do art. 146, da LOPGE.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Art. 11. O aprimoramento da cultura jurídica será computável com títulos ou diplomas de conclusão de cursos relacionados com as atribuições do cargo de Procurador do Estado: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I - Título de Livre- Docente;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II - Título de Doutor;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III - Título de Mestre;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IV - Cursos de Especialização Universitária;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V - Cursos de atualização jurídica, congressos jurídicos e similares;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VI - Congressos Nacional, Regional e Estadual de Procuradores do Estado; </w:t>
      </w:r>
      <w:proofErr w:type="gramStart"/>
      <w:r w:rsidRPr="008D6FA8">
        <w:rPr>
          <w:rFonts w:ascii="Verdana" w:hAnsi="Verdana"/>
          <w:sz w:val="16"/>
          <w:szCs w:val="16"/>
        </w:rPr>
        <w:t>e</w:t>
      </w:r>
      <w:proofErr w:type="gramEnd"/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VII - outra graduação compatível com a atuação funcional ou com a gestão da coisa pública.</w:t>
      </w:r>
    </w:p>
    <w:p w:rsidR="00E229F6" w:rsidRPr="008D6FA8" w:rsidRDefault="00E229F6" w:rsidP="004C6C90">
      <w:pPr>
        <w:ind w:firstLine="1418"/>
        <w:rPr>
          <w:rFonts w:ascii="Verdana" w:hAnsi="Verdana"/>
          <w:iCs/>
          <w:sz w:val="16"/>
          <w:szCs w:val="16"/>
        </w:rPr>
      </w:pPr>
      <w:r w:rsidRPr="00A32ED9">
        <w:rPr>
          <w:rFonts w:ascii="Verdana" w:hAnsi="Verdana"/>
          <w:sz w:val="16"/>
          <w:szCs w:val="16"/>
        </w:rPr>
        <w:t>Parágrafo único</w:t>
      </w:r>
      <w:r w:rsidRPr="008D6FA8">
        <w:rPr>
          <w:rFonts w:ascii="Verdana" w:hAnsi="Verdana"/>
          <w:i/>
          <w:sz w:val="16"/>
          <w:szCs w:val="16"/>
        </w:rPr>
        <w:t>.</w:t>
      </w:r>
      <w:r w:rsidRPr="008D6FA8">
        <w:rPr>
          <w:rFonts w:ascii="Verdana" w:hAnsi="Verdana"/>
          <w:sz w:val="16"/>
          <w:szCs w:val="16"/>
        </w:rPr>
        <w:t xml:space="preserve"> A </w:t>
      </w:r>
      <w:r w:rsidRPr="008D6FA8">
        <w:rPr>
          <w:rFonts w:ascii="Verdana" w:hAnsi="Verdana"/>
          <w:iCs/>
          <w:sz w:val="16"/>
          <w:szCs w:val="16"/>
        </w:rPr>
        <w:t>habilitação ou titulação deverá ser levada em conta para fins de promoção uma única vez, exceto se o novo certificado ou título se referir a outra área do conhecimento jurídico.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  <w:highlight w:val="yellow"/>
        </w:rPr>
      </w:pP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Art. 12. O desempenho jurídico será aferido por trabalhos jurídicos, assim considerados, entre outros: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I - obra jurídica publicada;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II - obra editada de ementário jurisprudencial, judicial ou administrativo;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lastRenderedPageBreak/>
        <w:t xml:space="preserve">III - trabalho jurídico publicado na Revista da PGE ou em outra revista jurídica de circulação regular;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IV - trabalho jurídico publicado em jornal ou revista de circulação regular;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V - tese apresentada em Congresso Jurídico, desde que acolhida por Comissão de Seleção de Teses do Congresso; 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VI - participação em colegiados, comissões de trabalhos ou diretorias de entidades de classe, sem prejuízo das funções;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VII - participação em banca examinadora de Concursos Públicos de Órgãos e Entidades da Administração Pública Estadual.</w:t>
      </w:r>
    </w:p>
    <w:p w:rsidR="00E229F6" w:rsidRPr="008D6FA8" w:rsidRDefault="00E229F6" w:rsidP="004C6C90">
      <w:pPr>
        <w:ind w:firstLine="1418"/>
        <w:rPr>
          <w:rFonts w:ascii="Verdana" w:hAnsi="Verdana"/>
          <w:iCs/>
          <w:sz w:val="16"/>
          <w:szCs w:val="16"/>
        </w:rPr>
      </w:pPr>
      <w:r w:rsidRPr="00666F6C">
        <w:rPr>
          <w:rFonts w:ascii="Verdana" w:hAnsi="Verdana"/>
          <w:sz w:val="16"/>
          <w:szCs w:val="16"/>
        </w:rPr>
        <w:t>Parágrafo único</w:t>
      </w:r>
      <w:r w:rsidRPr="008D6FA8">
        <w:rPr>
          <w:rFonts w:ascii="Verdana" w:hAnsi="Verdana"/>
          <w:sz w:val="16"/>
          <w:szCs w:val="16"/>
        </w:rPr>
        <w:t xml:space="preserve">. A obra, tese ou trabalho jurídico, de que tratam os incisos I a V, deste artigo, </w:t>
      </w:r>
      <w:proofErr w:type="gramStart"/>
      <w:r w:rsidRPr="008D6FA8">
        <w:rPr>
          <w:rFonts w:ascii="Verdana" w:hAnsi="Verdana"/>
          <w:iCs/>
          <w:sz w:val="16"/>
          <w:szCs w:val="16"/>
        </w:rPr>
        <w:t>deverão</w:t>
      </w:r>
      <w:proofErr w:type="gramEnd"/>
      <w:r w:rsidRPr="008D6FA8">
        <w:rPr>
          <w:rFonts w:ascii="Verdana" w:hAnsi="Verdana"/>
          <w:iCs/>
          <w:sz w:val="16"/>
          <w:szCs w:val="16"/>
        </w:rPr>
        <w:t xml:space="preserve"> ser levados em consideração para fins de promoção uma única vez.</w:t>
      </w:r>
    </w:p>
    <w:p w:rsidR="00E229F6" w:rsidRPr="008D6FA8" w:rsidRDefault="00E229F6" w:rsidP="00E229F6">
      <w:pPr>
        <w:rPr>
          <w:rFonts w:ascii="Verdana" w:hAnsi="Verdana"/>
          <w:sz w:val="16"/>
          <w:szCs w:val="16"/>
        </w:rPr>
      </w:pPr>
    </w:p>
    <w:p w:rsidR="00E229F6" w:rsidRPr="008D6FA8" w:rsidRDefault="00E229F6" w:rsidP="00E229F6">
      <w:pPr>
        <w:jc w:val="center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Seção III</w:t>
      </w:r>
    </w:p>
    <w:p w:rsidR="00E229F6" w:rsidRPr="008D6FA8" w:rsidRDefault="00E229F6" w:rsidP="00E229F6">
      <w:pPr>
        <w:jc w:val="center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Da Sessão Extraordinária</w:t>
      </w:r>
    </w:p>
    <w:p w:rsidR="00E229F6" w:rsidRPr="008D6FA8" w:rsidRDefault="00E229F6" w:rsidP="00E229F6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Art. 13. Na sessão extraordinária de promoção por merecimento, em caso de impedimento ou suspeição de Conselheiro Titular e de seu Suplente, interessados na promoção, não haverá substituição por outro membro do Conselho Superior, para fins de deliberação sobre promoção.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Art. 14. No início da sessão extraordinária, que será aberta a toda a carreira, o Corregedor-Geral da PGE apresentará relatório final com as informações a respeito dos Procuradores aptos a serem votados para a composição da lista tríplice. 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4950FC">
        <w:rPr>
          <w:rFonts w:ascii="Verdana" w:hAnsi="Verdana"/>
          <w:sz w:val="16"/>
          <w:szCs w:val="16"/>
        </w:rPr>
        <w:t>Parágrafo único.</w:t>
      </w:r>
      <w:r w:rsidRPr="008D6FA8">
        <w:rPr>
          <w:rFonts w:ascii="Verdana" w:hAnsi="Verdana"/>
          <w:sz w:val="16"/>
          <w:szCs w:val="16"/>
        </w:rPr>
        <w:t xml:space="preserve"> A discussão, após a leitura dos relatórios finais, seguirá em sessão reservada com os integrantes do Conselho Superior e os aptos a receberem votação.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 xml:space="preserve">Art. 15. Após discussão, será </w:t>
      </w:r>
      <w:proofErr w:type="gramStart"/>
      <w:r w:rsidRPr="008D6FA8">
        <w:rPr>
          <w:rFonts w:ascii="Verdana" w:hAnsi="Verdana"/>
          <w:color w:val="000000"/>
          <w:sz w:val="16"/>
          <w:szCs w:val="16"/>
        </w:rPr>
        <w:t>iniciada a votação aberta, devendo cada Conselheiro votar em três nomes</w:t>
      </w:r>
      <w:proofErr w:type="gramEnd"/>
      <w:r w:rsidRPr="008D6FA8">
        <w:rPr>
          <w:rFonts w:ascii="Verdana" w:hAnsi="Verdana"/>
          <w:color w:val="000000"/>
          <w:sz w:val="16"/>
          <w:szCs w:val="16"/>
        </w:rPr>
        <w:t xml:space="preserve"> para a composição da lista tríplice, de forma motivada.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§ 1º A ata de votação terá publicidade restrita aos Procuradores que concorrem à promoção.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§ 2º Serão incluídos na lista tríplice os nomes dos Procuradores que obtiverem os votos da maioria absoluta dos votantes, em primeiro escrutínio, ou maioria simples, nos demais escrutínios.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§ 3º Serão realizados tantos escrutínios quantos forem necessários para a composição da lista tríplice, concorrendo os Procuradores que obtiveram votos no escrutínio anterior.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§ 4º A lista de promoção por merecimento poderá conter menos de três nomes, se os remanescentes da categoria que preencham os requisitos da promoção forem em número inferior a três.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§ 5º A lista tríplice será expressa em ordem decrescente de votação, sendo que, em caso de empate em um mesmo escrutínio, haverá nova votação entre os empatados até que ocorra a definição da ordem de colocação.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§ 6º A lista tríplice observará somente os votos obtidos no primeiro escrutínio.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Art. 16. Qualquer impugnação à formação da lista tríplice poderá ser apresentada oralmente, no prazo a ser estabelecido pelo Presidente do Conselho Superior, na mesma sessão extraordinária, sendo decidida imediatamente pelo Conselho Superior.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Art. 17. O Procurador-Geral do Estado, ao encaminhar ao Governador a lista de promoção por merecimento, comunicar-lhe-á a ordem dos escrutínios, o número dos votos obtidos e quantas vezes os indicados figuraram em listas anteriores.</w:t>
      </w:r>
    </w:p>
    <w:p w:rsidR="00E229F6" w:rsidRPr="008D6FA8" w:rsidRDefault="00E229F6" w:rsidP="004C6C90">
      <w:pPr>
        <w:ind w:firstLine="1418"/>
        <w:rPr>
          <w:rFonts w:ascii="Verdana" w:hAnsi="Verdana"/>
          <w:color w:val="000000"/>
          <w:sz w:val="16"/>
          <w:szCs w:val="16"/>
        </w:rPr>
      </w:pPr>
      <w:r w:rsidRPr="00F17DBD">
        <w:rPr>
          <w:rFonts w:ascii="Verdana" w:hAnsi="Verdana"/>
          <w:color w:val="000000"/>
          <w:sz w:val="16"/>
          <w:szCs w:val="16"/>
        </w:rPr>
        <w:t>Parágrafo único</w:t>
      </w:r>
      <w:r w:rsidRPr="008D6FA8">
        <w:rPr>
          <w:rFonts w:ascii="Verdana" w:hAnsi="Verdana"/>
          <w:color w:val="000000"/>
          <w:sz w:val="16"/>
          <w:szCs w:val="16"/>
        </w:rPr>
        <w:t>. Terá direito à promoção o Procurador do Estado que tiver sido indicado pela terceira vez e, em caso de empate, aplicar-se-á o disposto no § 2º do art. 50, da LOPGE.</w:t>
      </w:r>
    </w:p>
    <w:p w:rsidR="00E229F6" w:rsidRPr="008D6FA8" w:rsidRDefault="00E229F6" w:rsidP="00E229F6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E229F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CAPÍTULO IV</w:t>
      </w:r>
    </w:p>
    <w:p w:rsidR="00E229F6" w:rsidRPr="008D6FA8" w:rsidRDefault="00E229F6" w:rsidP="00E229F6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DAS DISPOSIÇÕES FINAIS</w:t>
      </w:r>
    </w:p>
    <w:p w:rsidR="00E229F6" w:rsidRPr="008D6FA8" w:rsidRDefault="00E229F6" w:rsidP="00E229F6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 xml:space="preserve">Art. 18. Ficam mantidos os arquivos digitais de anotação de todas as promoções, </w:t>
      </w:r>
      <w:r w:rsidRPr="008D6FA8">
        <w:rPr>
          <w:rFonts w:ascii="Verdana" w:hAnsi="Verdana"/>
          <w:sz w:val="16"/>
          <w:szCs w:val="16"/>
        </w:rPr>
        <w:t>um para cada Categoria da carreira, cuja guarda e atualização será de competência da Secretaria do Conselho Superior.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5A0D6E">
        <w:rPr>
          <w:rFonts w:ascii="Verdana" w:hAnsi="Verdana"/>
          <w:color w:val="000000"/>
          <w:sz w:val="16"/>
          <w:szCs w:val="16"/>
        </w:rPr>
        <w:t>Parágrafo único</w:t>
      </w:r>
      <w:r w:rsidRPr="008D6FA8">
        <w:rPr>
          <w:rFonts w:ascii="Verdana" w:hAnsi="Verdana"/>
          <w:color w:val="000000"/>
          <w:sz w:val="16"/>
          <w:szCs w:val="16"/>
        </w:rPr>
        <w:t xml:space="preserve">. As anotações, numeradas sequencialmente, deverão conter o nome do Procurador do Estado promovido, o ato de promoção e o diário oficial de sua publicação, sendo que, as promoções por merecimento deverão ser precedidas de informações da lista tríplice, sua composição, ordem de classificação, quantidade de </w:t>
      </w:r>
      <w:r w:rsidRPr="008D6FA8">
        <w:rPr>
          <w:rFonts w:ascii="Verdana" w:hAnsi="Verdana"/>
          <w:color w:val="000000"/>
          <w:sz w:val="16"/>
          <w:szCs w:val="16"/>
        </w:rPr>
        <w:lastRenderedPageBreak/>
        <w:t xml:space="preserve">votos e quantidade de vezes em que o Procurador participou de lista tríplice na categoria em que está ocorrendo </w:t>
      </w:r>
      <w:proofErr w:type="gramStart"/>
      <w:r w:rsidRPr="008D6FA8">
        <w:rPr>
          <w:rFonts w:ascii="Verdana" w:hAnsi="Verdana"/>
          <w:color w:val="000000"/>
          <w:sz w:val="16"/>
          <w:szCs w:val="16"/>
        </w:rPr>
        <w:t>a</w:t>
      </w:r>
      <w:proofErr w:type="gramEnd"/>
      <w:r w:rsidRPr="008D6FA8">
        <w:rPr>
          <w:rFonts w:ascii="Verdana" w:hAnsi="Verdana"/>
          <w:color w:val="000000"/>
          <w:sz w:val="16"/>
          <w:szCs w:val="16"/>
        </w:rPr>
        <w:t xml:space="preserve"> anotação.</w:t>
      </w: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</w:p>
    <w:p w:rsidR="00E229F6" w:rsidRPr="008D6FA8" w:rsidRDefault="00E229F6" w:rsidP="004C6C90">
      <w:pPr>
        <w:autoSpaceDE w:val="0"/>
        <w:autoSpaceDN w:val="0"/>
        <w:adjustRightInd w:val="0"/>
        <w:ind w:firstLine="1418"/>
        <w:rPr>
          <w:rFonts w:ascii="Verdana" w:hAnsi="Verdana"/>
          <w:color w:val="000000"/>
          <w:sz w:val="16"/>
          <w:szCs w:val="16"/>
        </w:rPr>
      </w:pPr>
      <w:r w:rsidRPr="008D6FA8">
        <w:rPr>
          <w:rFonts w:ascii="Verdana" w:hAnsi="Verdana"/>
          <w:color w:val="000000"/>
          <w:sz w:val="16"/>
          <w:szCs w:val="16"/>
        </w:rPr>
        <w:t>Art. 19. Esta Resolução entrará em vigor na data de sua publicação, revogando-se a Resolução PGE/MS/Nº 152, de 10.03.2006 e outras disposições em contrário.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Campo Grande, MS, </w:t>
      </w:r>
      <w:r w:rsidR="001334F1">
        <w:rPr>
          <w:rFonts w:ascii="Verdana" w:hAnsi="Verdana"/>
          <w:sz w:val="16"/>
          <w:szCs w:val="16"/>
        </w:rPr>
        <w:t xml:space="preserve">11 </w:t>
      </w:r>
      <w:r w:rsidRPr="008D6FA8">
        <w:rPr>
          <w:rFonts w:ascii="Verdana" w:hAnsi="Verdana"/>
          <w:sz w:val="16"/>
          <w:szCs w:val="16"/>
        </w:rPr>
        <w:t>de</w:t>
      </w:r>
      <w:r w:rsidR="00DD291A">
        <w:rPr>
          <w:rFonts w:ascii="Verdana" w:hAnsi="Verdana"/>
          <w:sz w:val="16"/>
          <w:szCs w:val="16"/>
        </w:rPr>
        <w:t xml:space="preserve"> novembro</w:t>
      </w:r>
      <w:r w:rsidRPr="008D6FA8">
        <w:rPr>
          <w:rFonts w:ascii="Verdana" w:hAnsi="Verdana"/>
          <w:sz w:val="16"/>
          <w:szCs w:val="16"/>
        </w:rPr>
        <w:t xml:space="preserve"> de 2014.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 xml:space="preserve">Rafael </w:t>
      </w:r>
      <w:proofErr w:type="spellStart"/>
      <w:r w:rsidRPr="008D6FA8">
        <w:rPr>
          <w:rFonts w:ascii="Verdana" w:hAnsi="Verdana"/>
          <w:sz w:val="16"/>
          <w:szCs w:val="16"/>
        </w:rPr>
        <w:t>Coldibelli</w:t>
      </w:r>
      <w:proofErr w:type="spellEnd"/>
      <w:r w:rsidRPr="008D6FA8">
        <w:rPr>
          <w:rFonts w:ascii="Verdana" w:hAnsi="Verdana"/>
          <w:sz w:val="16"/>
          <w:szCs w:val="16"/>
        </w:rPr>
        <w:t xml:space="preserve"> Francisco</w:t>
      </w:r>
    </w:p>
    <w:p w:rsidR="00E229F6" w:rsidRPr="008D6FA8" w:rsidRDefault="00E229F6" w:rsidP="004C6C90">
      <w:pPr>
        <w:ind w:firstLine="1418"/>
        <w:rPr>
          <w:rFonts w:ascii="Verdana" w:hAnsi="Verdana"/>
          <w:sz w:val="16"/>
          <w:szCs w:val="16"/>
        </w:rPr>
      </w:pPr>
      <w:r w:rsidRPr="008D6FA8">
        <w:rPr>
          <w:rFonts w:ascii="Verdana" w:hAnsi="Verdana"/>
          <w:sz w:val="16"/>
          <w:szCs w:val="16"/>
        </w:rPr>
        <w:t>Procurador-Geral do Estado</w:t>
      </w:r>
    </w:p>
    <w:p w:rsidR="00A83705" w:rsidRPr="008D6FA8" w:rsidRDefault="00A83705" w:rsidP="00E229F6">
      <w:pPr>
        <w:rPr>
          <w:rFonts w:ascii="Verdana" w:hAnsi="Verdana"/>
          <w:sz w:val="16"/>
          <w:szCs w:val="16"/>
        </w:rPr>
      </w:pPr>
    </w:p>
    <w:sectPr w:rsidR="00A83705" w:rsidRPr="008D6FA8" w:rsidSect="00E72BBE">
      <w:headerReference w:type="default" r:id="rId7"/>
      <w:footerReference w:type="even" r:id="rId8"/>
      <w:footerReference w:type="default" r:id="rId9"/>
      <w:pgSz w:w="11907" w:h="16840" w:code="9"/>
      <w:pgMar w:top="851" w:right="2268" w:bottom="851" w:left="2552" w:header="73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AE" w:rsidRDefault="001510AE">
      <w:r>
        <w:separator/>
      </w:r>
    </w:p>
  </w:endnote>
  <w:endnote w:type="continuationSeparator" w:id="0">
    <w:p w:rsidR="001510AE" w:rsidRDefault="0015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A6" w:rsidRDefault="00C95B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C33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33A6" w:rsidRDefault="00EC33A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A6" w:rsidRDefault="00EC33A6">
    <w:pPr>
      <w:pStyle w:val="Rodap"/>
      <w:framePr w:wrap="around" w:vAnchor="text" w:hAnchor="page" w:x="9853" w:y="211"/>
      <w:rPr>
        <w:rStyle w:val="Nmerodepgina"/>
        <w:sz w:val="16"/>
      </w:rPr>
    </w:pPr>
  </w:p>
  <w:p w:rsidR="00EC33A6" w:rsidRDefault="00C95B69">
    <w:pPr>
      <w:pStyle w:val="Rodap"/>
      <w:framePr w:wrap="around" w:vAnchor="text" w:hAnchor="page" w:x="9853" w:y="21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EC33A6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404059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</w:p>
  <w:p w:rsidR="00EC33A6" w:rsidRPr="00051938" w:rsidRDefault="00EC33A6" w:rsidP="00DB0858">
    <w:pPr>
      <w:pStyle w:val="Rodap"/>
      <w:pBdr>
        <w:top w:val="double" w:sz="4" w:space="1" w:color="auto"/>
      </w:pBdr>
      <w:tabs>
        <w:tab w:val="clear" w:pos="4419"/>
        <w:tab w:val="clear" w:pos="8838"/>
        <w:tab w:val="left" w:pos="709"/>
      </w:tabs>
      <w:ind w:right="360"/>
      <w:jc w:val="center"/>
      <w:rPr>
        <w:sz w:val="16"/>
        <w:szCs w:val="16"/>
      </w:rPr>
    </w:pPr>
    <w:r w:rsidRPr="00051938">
      <w:rPr>
        <w:sz w:val="16"/>
        <w:szCs w:val="16"/>
      </w:rPr>
      <w:t>Parque dos Poderes – bloco IV</w:t>
    </w:r>
    <w:r w:rsidRPr="00051938">
      <w:rPr>
        <w:sz w:val="16"/>
        <w:szCs w:val="16"/>
      </w:rPr>
      <w:tab/>
      <w:t>Campo Grande – MS</w:t>
    </w:r>
    <w:r w:rsidRPr="00051938">
      <w:rPr>
        <w:sz w:val="16"/>
        <w:szCs w:val="16"/>
      </w:rPr>
      <w:tab/>
      <w:t>CEP 79.031-902</w:t>
    </w:r>
    <w:r w:rsidRPr="00051938">
      <w:rPr>
        <w:sz w:val="16"/>
        <w:szCs w:val="16"/>
      </w:rPr>
      <w:br/>
    </w:r>
    <w:hyperlink r:id="rId1" w:history="1">
      <w:r w:rsidRPr="00051938">
        <w:rPr>
          <w:rStyle w:val="Hyperlink"/>
          <w:sz w:val="16"/>
          <w:szCs w:val="16"/>
        </w:rPr>
        <w:t>www.pge.ms.gov.br</w:t>
      </w:r>
    </w:hyperlink>
    <w:r w:rsidRPr="00051938">
      <w:rPr>
        <w:sz w:val="16"/>
        <w:szCs w:val="16"/>
      </w:rPr>
      <w:t xml:space="preserve"> </w:t>
    </w:r>
    <w:r w:rsidRPr="00051938">
      <w:rPr>
        <w:sz w:val="16"/>
        <w:szCs w:val="16"/>
      </w:rPr>
      <w:tab/>
    </w:r>
    <w:r w:rsidRPr="00051938">
      <w:rPr>
        <w:sz w:val="16"/>
        <w:szCs w:val="16"/>
      </w:rPr>
      <w:tab/>
    </w:r>
    <w:proofErr w:type="gramStart"/>
    <w:r w:rsidRPr="00051938">
      <w:rPr>
        <w:sz w:val="16"/>
        <w:szCs w:val="16"/>
      </w:rPr>
      <w:t>(</w:t>
    </w:r>
    <w:proofErr w:type="gramEnd"/>
    <w:r w:rsidRPr="00051938">
      <w:rPr>
        <w:sz w:val="16"/>
        <w:szCs w:val="16"/>
      </w:rPr>
      <w:t>67) 3318-2672</w:t>
    </w:r>
    <w:r w:rsidRPr="00051938">
      <w:rPr>
        <w:sz w:val="16"/>
        <w:szCs w:val="16"/>
      </w:rPr>
      <w:tab/>
    </w:r>
    <w:r w:rsidRPr="00051938">
      <w:rPr>
        <w:sz w:val="16"/>
        <w:szCs w:val="16"/>
      </w:rPr>
      <w:tab/>
    </w:r>
    <w:r w:rsidRPr="00051938">
      <w:rPr>
        <w:sz w:val="16"/>
        <w:szCs w:val="16"/>
      </w:rPr>
      <w:tab/>
      <w:t>página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AE" w:rsidRDefault="001510AE">
      <w:r>
        <w:separator/>
      </w:r>
    </w:p>
  </w:footnote>
  <w:footnote w:type="continuationSeparator" w:id="0">
    <w:p w:rsidR="001510AE" w:rsidRDefault="00151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A6" w:rsidRDefault="00EC33A6">
    <w:pPr>
      <w:pStyle w:val="Cabealho"/>
    </w:pPr>
    <w:r>
      <w:t>ESTADO DE MATO GROSSO DO SUL</w:t>
    </w:r>
  </w:p>
  <w:p w:rsidR="00EC33A6" w:rsidRDefault="00EC33A6">
    <w:pPr>
      <w:pStyle w:val="Cabealho"/>
      <w:pBdr>
        <w:bottom w:val="triple" w:sz="4" w:space="1" w:color="auto"/>
      </w:pBdr>
      <w:rPr>
        <w:spacing w:val="40"/>
      </w:rPr>
    </w:pPr>
    <w:r>
      <w:rPr>
        <w:spacing w:val="40"/>
      </w:rPr>
      <w:t>PROCURADORIA-GERAL DO ESTADO</w:t>
    </w:r>
  </w:p>
  <w:p w:rsidR="00EC33A6" w:rsidRPr="00BA1DCF" w:rsidRDefault="00EC33A6" w:rsidP="00BA1DCF">
    <w:pPr>
      <w:pStyle w:val="Cabealho"/>
      <w:pBdr>
        <w:bottom w:val="triple" w:sz="4" w:space="1" w:color="auto"/>
      </w:pBdr>
      <w:spacing w:after="120"/>
      <w:rPr>
        <w:b w:val="0"/>
        <w:bCs/>
        <w:spacing w:val="0"/>
        <w:sz w:val="24"/>
      </w:rPr>
    </w:pPr>
    <w:r>
      <w:rPr>
        <w:b w:val="0"/>
        <w:bCs/>
        <w:spacing w:val="0"/>
        <w:sz w:val="24"/>
      </w:rPr>
      <w:t>Gabinete da Procuradoria-Geral do Estado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1695"/>
    <w:multiLevelType w:val="hybridMultilevel"/>
    <w:tmpl w:val="11F2ED6E"/>
    <w:lvl w:ilvl="0" w:tplc="373A16FC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34210EE8"/>
    <w:multiLevelType w:val="hybridMultilevel"/>
    <w:tmpl w:val="9174B522"/>
    <w:lvl w:ilvl="0" w:tplc="A03A4FDA">
      <w:start w:val="1"/>
      <w:numFmt w:val="bullet"/>
      <w:lvlText w:val=""/>
      <w:lvlJc w:val="left"/>
      <w:pPr>
        <w:tabs>
          <w:tab w:val="num" w:pos="2948"/>
        </w:tabs>
        <w:ind w:left="2948" w:hanging="2948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897EA">
      <w:start w:val="1"/>
      <w:numFmt w:val="bullet"/>
      <w:lvlText w:val="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FF000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467CD"/>
    <w:multiLevelType w:val="hybridMultilevel"/>
    <w:tmpl w:val="9174B522"/>
    <w:lvl w:ilvl="0" w:tplc="A03A4FDA">
      <w:start w:val="1"/>
      <w:numFmt w:val="bullet"/>
      <w:lvlText w:val=""/>
      <w:lvlJc w:val="left"/>
      <w:pPr>
        <w:tabs>
          <w:tab w:val="num" w:pos="2948"/>
        </w:tabs>
        <w:ind w:left="2948" w:hanging="2948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A4FDA">
      <w:start w:val="1"/>
      <w:numFmt w:val="bullet"/>
      <w:lvlText w:val=""/>
      <w:lvlJc w:val="left"/>
      <w:pPr>
        <w:tabs>
          <w:tab w:val="num" w:pos="5468"/>
        </w:tabs>
        <w:ind w:left="5468" w:hanging="2948"/>
      </w:pPr>
      <w:rPr>
        <w:rFonts w:ascii="Symbol" w:hAnsi="Symbol" w:hint="default"/>
        <w:color w:val="FF000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053B9"/>
    <w:multiLevelType w:val="multilevel"/>
    <w:tmpl w:val="D22A4326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B0A51B5"/>
    <w:multiLevelType w:val="hybridMultilevel"/>
    <w:tmpl w:val="9174B522"/>
    <w:lvl w:ilvl="0" w:tplc="A03A4FDA">
      <w:start w:val="1"/>
      <w:numFmt w:val="bullet"/>
      <w:lvlText w:val=""/>
      <w:lvlJc w:val="left"/>
      <w:pPr>
        <w:tabs>
          <w:tab w:val="num" w:pos="2948"/>
        </w:tabs>
        <w:ind w:left="2948" w:hanging="2948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83705"/>
    <w:rsid w:val="000029F4"/>
    <w:rsid w:val="0000542A"/>
    <w:rsid w:val="0001310B"/>
    <w:rsid w:val="0002236E"/>
    <w:rsid w:val="00050AFC"/>
    <w:rsid w:val="00051938"/>
    <w:rsid w:val="00055C3F"/>
    <w:rsid w:val="000C42FE"/>
    <w:rsid w:val="000E1550"/>
    <w:rsid w:val="000E3575"/>
    <w:rsid w:val="000F36EB"/>
    <w:rsid w:val="00114ADC"/>
    <w:rsid w:val="00116632"/>
    <w:rsid w:val="00117C6B"/>
    <w:rsid w:val="001320A8"/>
    <w:rsid w:val="001334F1"/>
    <w:rsid w:val="00136EDA"/>
    <w:rsid w:val="001459AF"/>
    <w:rsid w:val="001510AE"/>
    <w:rsid w:val="00163291"/>
    <w:rsid w:val="00177C2F"/>
    <w:rsid w:val="00184025"/>
    <w:rsid w:val="002164B7"/>
    <w:rsid w:val="00242549"/>
    <w:rsid w:val="00250F2D"/>
    <w:rsid w:val="00254FD2"/>
    <w:rsid w:val="00261511"/>
    <w:rsid w:val="00280B77"/>
    <w:rsid w:val="00295EF6"/>
    <w:rsid w:val="002B35C1"/>
    <w:rsid w:val="002C25A9"/>
    <w:rsid w:val="00303BAC"/>
    <w:rsid w:val="0031490A"/>
    <w:rsid w:val="0033351C"/>
    <w:rsid w:val="0033781F"/>
    <w:rsid w:val="00354746"/>
    <w:rsid w:val="00361421"/>
    <w:rsid w:val="00394BB1"/>
    <w:rsid w:val="003A2C86"/>
    <w:rsid w:val="003B128E"/>
    <w:rsid w:val="00404059"/>
    <w:rsid w:val="00424AD0"/>
    <w:rsid w:val="00431C11"/>
    <w:rsid w:val="00433572"/>
    <w:rsid w:val="004950FC"/>
    <w:rsid w:val="004A2012"/>
    <w:rsid w:val="004A28F5"/>
    <w:rsid w:val="004C148E"/>
    <w:rsid w:val="004C6C90"/>
    <w:rsid w:val="004E37D7"/>
    <w:rsid w:val="004F195F"/>
    <w:rsid w:val="004F1FEC"/>
    <w:rsid w:val="005171B7"/>
    <w:rsid w:val="005303A3"/>
    <w:rsid w:val="00544DEC"/>
    <w:rsid w:val="0055421E"/>
    <w:rsid w:val="00564DE7"/>
    <w:rsid w:val="00566D2C"/>
    <w:rsid w:val="00575ED2"/>
    <w:rsid w:val="00591BE1"/>
    <w:rsid w:val="005A0D6E"/>
    <w:rsid w:val="005A738C"/>
    <w:rsid w:val="005F3F53"/>
    <w:rsid w:val="005F6F91"/>
    <w:rsid w:val="006240B6"/>
    <w:rsid w:val="006535DA"/>
    <w:rsid w:val="00666E73"/>
    <w:rsid w:val="00666F6C"/>
    <w:rsid w:val="006865E4"/>
    <w:rsid w:val="006A0CEC"/>
    <w:rsid w:val="006F25DC"/>
    <w:rsid w:val="006F404E"/>
    <w:rsid w:val="00700573"/>
    <w:rsid w:val="00713364"/>
    <w:rsid w:val="00730D0E"/>
    <w:rsid w:val="00731DEB"/>
    <w:rsid w:val="007322DE"/>
    <w:rsid w:val="007409C7"/>
    <w:rsid w:val="00741CC9"/>
    <w:rsid w:val="00754865"/>
    <w:rsid w:val="00770C2E"/>
    <w:rsid w:val="00773524"/>
    <w:rsid w:val="00791059"/>
    <w:rsid w:val="007A08FB"/>
    <w:rsid w:val="007A2E8C"/>
    <w:rsid w:val="007F568F"/>
    <w:rsid w:val="00805F88"/>
    <w:rsid w:val="00827DDB"/>
    <w:rsid w:val="00865BEA"/>
    <w:rsid w:val="008A5C81"/>
    <w:rsid w:val="008B21D2"/>
    <w:rsid w:val="008D439E"/>
    <w:rsid w:val="008D6FA8"/>
    <w:rsid w:val="008E2B0D"/>
    <w:rsid w:val="008E52D8"/>
    <w:rsid w:val="008F585C"/>
    <w:rsid w:val="00917853"/>
    <w:rsid w:val="00933CEB"/>
    <w:rsid w:val="0093643C"/>
    <w:rsid w:val="009547FA"/>
    <w:rsid w:val="00954C60"/>
    <w:rsid w:val="00976032"/>
    <w:rsid w:val="0099181D"/>
    <w:rsid w:val="009E4B29"/>
    <w:rsid w:val="00A318ED"/>
    <w:rsid w:val="00A3196C"/>
    <w:rsid w:val="00A32ED9"/>
    <w:rsid w:val="00A83705"/>
    <w:rsid w:val="00AC2F4A"/>
    <w:rsid w:val="00AD2357"/>
    <w:rsid w:val="00B2684B"/>
    <w:rsid w:val="00B632EF"/>
    <w:rsid w:val="00B72037"/>
    <w:rsid w:val="00B72E1E"/>
    <w:rsid w:val="00BA1DCF"/>
    <w:rsid w:val="00BD3035"/>
    <w:rsid w:val="00BD51FD"/>
    <w:rsid w:val="00C15F7B"/>
    <w:rsid w:val="00C228EE"/>
    <w:rsid w:val="00C272B5"/>
    <w:rsid w:val="00C45829"/>
    <w:rsid w:val="00C462C7"/>
    <w:rsid w:val="00C53C47"/>
    <w:rsid w:val="00C658C8"/>
    <w:rsid w:val="00C70851"/>
    <w:rsid w:val="00C95B69"/>
    <w:rsid w:val="00CE2C43"/>
    <w:rsid w:val="00CE3DAD"/>
    <w:rsid w:val="00D11A3D"/>
    <w:rsid w:val="00D4281F"/>
    <w:rsid w:val="00D55E50"/>
    <w:rsid w:val="00D6603B"/>
    <w:rsid w:val="00D75753"/>
    <w:rsid w:val="00DA2908"/>
    <w:rsid w:val="00DB0858"/>
    <w:rsid w:val="00DD291A"/>
    <w:rsid w:val="00E229F6"/>
    <w:rsid w:val="00E30B01"/>
    <w:rsid w:val="00E557BF"/>
    <w:rsid w:val="00E72BBE"/>
    <w:rsid w:val="00E83008"/>
    <w:rsid w:val="00E8316F"/>
    <w:rsid w:val="00EA1369"/>
    <w:rsid w:val="00EC33A6"/>
    <w:rsid w:val="00ED014B"/>
    <w:rsid w:val="00ED4318"/>
    <w:rsid w:val="00EE7734"/>
    <w:rsid w:val="00EE7AB1"/>
    <w:rsid w:val="00EF11ED"/>
    <w:rsid w:val="00EF5294"/>
    <w:rsid w:val="00F009C6"/>
    <w:rsid w:val="00F01D04"/>
    <w:rsid w:val="00F1472B"/>
    <w:rsid w:val="00F14DD1"/>
    <w:rsid w:val="00F17DBD"/>
    <w:rsid w:val="00F557B8"/>
    <w:rsid w:val="00F64744"/>
    <w:rsid w:val="00F66AFE"/>
    <w:rsid w:val="00F72509"/>
    <w:rsid w:val="00F77691"/>
    <w:rsid w:val="00F815DE"/>
    <w:rsid w:val="00F85A87"/>
    <w:rsid w:val="00FA45A6"/>
    <w:rsid w:val="00FB5A84"/>
    <w:rsid w:val="00FD207E"/>
    <w:rsid w:val="00FD3DBD"/>
    <w:rsid w:val="00FD5DB4"/>
    <w:rsid w:val="00FE3FBB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705"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rsid w:val="008D439E"/>
    <w:pPr>
      <w:keepNext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8D439E"/>
    <w:rPr>
      <w:sz w:val="20"/>
    </w:rPr>
  </w:style>
  <w:style w:type="paragraph" w:customStyle="1" w:styleId="Endereamento">
    <w:name w:val="Endereçamento"/>
    <w:basedOn w:val="Normal"/>
    <w:next w:val="Identificao"/>
    <w:rsid w:val="008D439E"/>
    <w:pPr>
      <w:spacing w:after="6000"/>
    </w:pPr>
  </w:style>
  <w:style w:type="paragraph" w:customStyle="1" w:styleId="Identificao">
    <w:name w:val="Identificação"/>
    <w:basedOn w:val="Endereamento"/>
    <w:rsid w:val="008D439E"/>
    <w:pPr>
      <w:spacing w:after="0"/>
    </w:pPr>
    <w:rPr>
      <w:sz w:val="22"/>
    </w:rPr>
  </w:style>
  <w:style w:type="paragraph" w:customStyle="1" w:styleId="Pargrafo">
    <w:name w:val="Parágrafo"/>
    <w:basedOn w:val="Identificao"/>
    <w:rsid w:val="008D439E"/>
    <w:pPr>
      <w:spacing w:before="120" w:line="360" w:lineRule="auto"/>
      <w:ind w:firstLine="851"/>
    </w:pPr>
    <w:rPr>
      <w:sz w:val="26"/>
    </w:rPr>
  </w:style>
  <w:style w:type="paragraph" w:styleId="Citao">
    <w:name w:val="Quote"/>
    <w:basedOn w:val="Identificao"/>
    <w:qFormat/>
    <w:rsid w:val="008D439E"/>
    <w:pPr>
      <w:ind w:left="2268"/>
    </w:pPr>
    <w:rPr>
      <w:sz w:val="24"/>
    </w:rPr>
  </w:style>
  <w:style w:type="character" w:styleId="Refdenotaderodap">
    <w:name w:val="footnote reference"/>
    <w:basedOn w:val="Fontepargpadro"/>
    <w:semiHidden/>
    <w:rsid w:val="008D439E"/>
    <w:rPr>
      <w:vertAlign w:val="superscript"/>
    </w:rPr>
  </w:style>
  <w:style w:type="paragraph" w:styleId="Cabealho">
    <w:name w:val="header"/>
    <w:basedOn w:val="Normal"/>
    <w:rsid w:val="008D439E"/>
    <w:pPr>
      <w:tabs>
        <w:tab w:val="center" w:pos="4419"/>
        <w:tab w:val="right" w:pos="8838"/>
      </w:tabs>
      <w:jc w:val="center"/>
    </w:pPr>
    <w:rPr>
      <w:rFonts w:ascii="Bookman Old Style" w:hAnsi="Bookman Old Style"/>
      <w:b/>
      <w:spacing w:val="46"/>
      <w:sz w:val="28"/>
    </w:rPr>
  </w:style>
  <w:style w:type="paragraph" w:styleId="Rodap">
    <w:name w:val="footer"/>
    <w:basedOn w:val="Normal"/>
    <w:rsid w:val="008D439E"/>
    <w:pPr>
      <w:tabs>
        <w:tab w:val="center" w:pos="4419"/>
        <w:tab w:val="right" w:pos="8838"/>
      </w:tabs>
    </w:pPr>
    <w:rPr>
      <w:rFonts w:ascii="Bookman Old Style" w:hAnsi="Bookman Old Style"/>
      <w:b/>
      <w:sz w:val="18"/>
    </w:rPr>
  </w:style>
  <w:style w:type="character" w:styleId="Hyperlink">
    <w:name w:val="Hyperlink"/>
    <w:basedOn w:val="Fontepargpadro"/>
    <w:rsid w:val="008D439E"/>
    <w:rPr>
      <w:color w:val="0000FF"/>
      <w:u w:val="single"/>
    </w:rPr>
  </w:style>
  <w:style w:type="character" w:styleId="Nmerodepgina">
    <w:name w:val="page number"/>
    <w:basedOn w:val="Fontepargpadro"/>
    <w:rsid w:val="008D439E"/>
  </w:style>
  <w:style w:type="paragraph" w:styleId="Recuodecorpodetexto2">
    <w:name w:val="Body Text Indent 2"/>
    <w:basedOn w:val="Normal"/>
    <w:rsid w:val="00A83705"/>
    <w:pPr>
      <w:spacing w:before="240"/>
      <w:ind w:firstLine="540"/>
    </w:pPr>
    <w:rPr>
      <w:rFonts w:ascii="Verdana" w:hAnsi="Verdana" w:cs="Verdana"/>
      <w:sz w:val="16"/>
      <w:szCs w:val="16"/>
    </w:rPr>
  </w:style>
  <w:style w:type="paragraph" w:customStyle="1" w:styleId="Titulo">
    <w:name w:val="Titulo"/>
    <w:basedOn w:val="Pargrafo"/>
    <w:rsid w:val="008D439E"/>
    <w:pPr>
      <w:spacing w:before="240" w:after="240" w:line="240" w:lineRule="auto"/>
      <w:ind w:firstLine="0"/>
      <w:jc w:val="center"/>
    </w:pPr>
  </w:style>
  <w:style w:type="paragraph" w:customStyle="1" w:styleId="Sub-titulo">
    <w:name w:val="Sub-titulo"/>
    <w:basedOn w:val="Pargrafo"/>
    <w:rsid w:val="008D439E"/>
    <w:pPr>
      <w:spacing w:after="120" w:line="240" w:lineRule="auto"/>
      <w:jc w:val="left"/>
    </w:pPr>
  </w:style>
  <w:style w:type="paragraph" w:customStyle="1" w:styleId="Verbetao">
    <w:name w:val="Verbetação"/>
    <w:basedOn w:val="Pargrafo"/>
    <w:rsid w:val="008D439E"/>
    <w:pPr>
      <w:spacing w:before="0" w:after="120"/>
      <w:ind w:left="1701" w:firstLine="0"/>
    </w:pPr>
  </w:style>
  <w:style w:type="paragraph" w:customStyle="1" w:styleId="Dispositivo">
    <w:name w:val="Dispositivo"/>
    <w:basedOn w:val="Pargrafo"/>
    <w:rsid w:val="008D439E"/>
    <w:pPr>
      <w:spacing w:before="0" w:after="120"/>
      <w:ind w:left="851"/>
    </w:pPr>
  </w:style>
  <w:style w:type="paragraph" w:styleId="Textodebalo">
    <w:name w:val="Balloon Text"/>
    <w:basedOn w:val="Normal"/>
    <w:semiHidden/>
    <w:rsid w:val="001840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57B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05193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e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2329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 SR</vt:lpstr>
    </vt:vector>
  </TitlesOfParts>
  <Company>Governo do Estado de Mato Grosso do Sul</Company>
  <LinksUpToDate>false</LinksUpToDate>
  <CharactersWithSpaces>15218</CharactersWithSpaces>
  <SharedDoc>false</SharedDoc>
  <HLinks>
    <vt:vector size="6" baseType="variant">
      <vt:variant>
        <vt:i4>5111833</vt:i4>
      </vt:variant>
      <vt:variant>
        <vt:i4>5</vt:i4>
      </vt:variant>
      <vt:variant>
        <vt:i4>0</vt:i4>
      </vt:variant>
      <vt:variant>
        <vt:i4>5</vt:i4>
      </vt:variant>
      <vt:variant>
        <vt:lpwstr>http://www.pge.ms.gov.br/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SR</dc:title>
  <dc:creator>dra. sueni</dc:creator>
  <cp:lastModifiedBy>ipaniago</cp:lastModifiedBy>
  <cp:revision>39</cp:revision>
  <cp:lastPrinted>2014-11-13T12:58:00Z</cp:lastPrinted>
  <dcterms:created xsi:type="dcterms:W3CDTF">2014-11-11T14:25:00Z</dcterms:created>
  <dcterms:modified xsi:type="dcterms:W3CDTF">2014-11-13T13:05:00Z</dcterms:modified>
</cp:coreProperties>
</file>