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C2C32" w14:textId="6ED5F422" w:rsidR="00CE2054" w:rsidRPr="00AE0306" w:rsidRDefault="00CE2054" w:rsidP="00283F73">
      <w:pPr>
        <w:spacing w:line="360" w:lineRule="auto"/>
        <w:jc w:val="both"/>
        <w:rPr>
          <w:rFonts w:ascii="Times New Roman" w:hAnsi="Times New Roman" w:cs="Times New Roman"/>
          <w:b/>
          <w:sz w:val="24"/>
          <w:szCs w:val="24"/>
        </w:rPr>
      </w:pPr>
      <w:bookmarkStart w:id="0" w:name="_GoBack"/>
      <w:bookmarkEnd w:id="0"/>
      <w:r w:rsidRPr="00AE0306">
        <w:rPr>
          <w:rFonts w:ascii="Times New Roman" w:hAnsi="Times New Roman" w:cs="Times New Roman"/>
          <w:b/>
          <w:sz w:val="24"/>
          <w:szCs w:val="24"/>
        </w:rPr>
        <w:t xml:space="preserve">ANEXO I – Atestado da correspondência do caso concreto ao </w:t>
      </w:r>
      <w:r w:rsidR="00E37981" w:rsidRPr="00AE0306">
        <w:rPr>
          <w:rFonts w:ascii="Times New Roman" w:hAnsi="Times New Roman" w:cs="Times New Roman"/>
          <w:b/>
          <w:sz w:val="24"/>
          <w:szCs w:val="24"/>
        </w:rPr>
        <w:t>P</w:t>
      </w:r>
      <w:r w:rsidRPr="00AE0306">
        <w:rPr>
          <w:rFonts w:ascii="Times New Roman" w:hAnsi="Times New Roman" w:cs="Times New Roman"/>
          <w:b/>
          <w:sz w:val="24"/>
          <w:szCs w:val="24"/>
        </w:rPr>
        <w:t xml:space="preserve">arecer </w:t>
      </w:r>
      <w:r w:rsidR="00E37981" w:rsidRPr="00AE0306">
        <w:rPr>
          <w:rFonts w:ascii="Times New Roman" w:hAnsi="Times New Roman" w:cs="Times New Roman"/>
          <w:b/>
          <w:sz w:val="24"/>
          <w:szCs w:val="24"/>
        </w:rPr>
        <w:t>R</w:t>
      </w:r>
      <w:r w:rsidRPr="00AE0306">
        <w:rPr>
          <w:rFonts w:ascii="Times New Roman" w:hAnsi="Times New Roman" w:cs="Times New Roman"/>
          <w:b/>
          <w:sz w:val="24"/>
          <w:szCs w:val="24"/>
        </w:rPr>
        <w:t xml:space="preserve">eferencial </w:t>
      </w:r>
    </w:p>
    <w:p w14:paraId="47B8567A"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jc w:val="center"/>
        <w:rPr>
          <w:rFonts w:ascii="Times New Roman" w:hAnsi="Times New Roman"/>
          <w:b/>
          <w:bCs/>
          <w:sz w:val="24"/>
          <w:szCs w:val="24"/>
          <w:u w:val="single"/>
        </w:rPr>
      </w:pPr>
      <w:r w:rsidRPr="00AE0306">
        <w:rPr>
          <w:rFonts w:ascii="Times New Roman" w:hAnsi="Times New Roman"/>
          <w:b/>
          <w:bCs/>
          <w:sz w:val="24"/>
          <w:szCs w:val="24"/>
          <w:u w:val="single"/>
        </w:rPr>
        <w:t>Certidão</w:t>
      </w:r>
    </w:p>
    <w:p w14:paraId="05DA57C5"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b/>
          <w:sz w:val="24"/>
          <w:szCs w:val="24"/>
        </w:rPr>
      </w:pPr>
    </w:p>
    <w:p w14:paraId="2465E50E"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b/>
          <w:sz w:val="24"/>
          <w:szCs w:val="24"/>
        </w:rPr>
      </w:pPr>
    </w:p>
    <w:p w14:paraId="7410FE4F"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r w:rsidRPr="00AE0306">
        <w:rPr>
          <w:rFonts w:ascii="Times New Roman" w:hAnsi="Times New Roman"/>
          <w:sz w:val="24"/>
          <w:szCs w:val="24"/>
        </w:rPr>
        <w:t>Atesto que:</w:t>
      </w:r>
    </w:p>
    <w:p w14:paraId="4AF90DB1"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p>
    <w:p w14:paraId="4F8F15D8" w14:textId="76934FCB"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Style w:val="A0"/>
          <w:rFonts w:ascii="Times New Roman" w:hAnsi="Times New Roman" w:cs="Times New Roman"/>
          <w:color w:val="auto"/>
          <w:sz w:val="24"/>
          <w:szCs w:val="24"/>
        </w:rPr>
      </w:pPr>
      <w:r w:rsidRPr="00AE0306">
        <w:rPr>
          <w:rFonts w:ascii="Times New Roman" w:hAnsi="Times New Roman"/>
          <w:sz w:val="24"/>
          <w:szCs w:val="24"/>
        </w:rPr>
        <w:t xml:space="preserve">1) </w:t>
      </w:r>
      <w:r w:rsidRPr="00AE0306">
        <w:rPr>
          <w:rStyle w:val="A0"/>
          <w:rFonts w:ascii="Times New Roman" w:hAnsi="Times New Roman" w:cs="Times New Roman"/>
          <w:color w:val="auto"/>
          <w:sz w:val="24"/>
          <w:szCs w:val="24"/>
        </w:rPr>
        <w:t>o caso em análise nos presentes autos se amolda à orientação jurídica tra</w:t>
      </w:r>
      <w:r w:rsidR="00D627A2" w:rsidRPr="00AE0306">
        <w:rPr>
          <w:rStyle w:val="A0"/>
          <w:rFonts w:ascii="Times New Roman" w:hAnsi="Times New Roman" w:cs="Times New Roman"/>
          <w:color w:val="auto"/>
          <w:sz w:val="24"/>
          <w:szCs w:val="24"/>
        </w:rPr>
        <w:t>çada no PARECER REFERENCIAL PGE</w:t>
      </w:r>
      <w:r w:rsidRPr="00AE0306">
        <w:rPr>
          <w:rStyle w:val="A0"/>
          <w:rFonts w:ascii="Times New Roman" w:hAnsi="Times New Roman" w:cs="Times New Roman"/>
          <w:color w:val="auto"/>
          <w:sz w:val="24"/>
          <w:szCs w:val="24"/>
        </w:rPr>
        <w:t>/MS/CJUR-</w:t>
      </w:r>
      <w:r w:rsidR="00E37981" w:rsidRPr="00AE0306">
        <w:rPr>
          <w:rStyle w:val="A0"/>
          <w:rFonts w:ascii="Times New Roman" w:hAnsi="Times New Roman" w:cs="Times New Roman"/>
          <w:color w:val="auto"/>
          <w:sz w:val="24"/>
          <w:szCs w:val="24"/>
        </w:rPr>
        <w:t>SEL</w:t>
      </w:r>
      <w:r w:rsidRPr="00AE0306">
        <w:rPr>
          <w:rStyle w:val="A0"/>
          <w:rFonts w:ascii="Times New Roman" w:hAnsi="Times New Roman" w:cs="Times New Roman"/>
          <w:color w:val="auto"/>
          <w:sz w:val="24"/>
          <w:szCs w:val="24"/>
        </w:rPr>
        <w:t>/Nº 00</w:t>
      </w:r>
      <w:r w:rsidR="00E37981" w:rsidRPr="00AE0306">
        <w:rPr>
          <w:rStyle w:val="A0"/>
          <w:rFonts w:ascii="Times New Roman" w:hAnsi="Times New Roman" w:cs="Times New Roman"/>
          <w:color w:val="auto"/>
          <w:sz w:val="24"/>
          <w:szCs w:val="24"/>
        </w:rPr>
        <w:t>1</w:t>
      </w:r>
      <w:r w:rsidRPr="00AE0306">
        <w:rPr>
          <w:rStyle w:val="A0"/>
          <w:rFonts w:ascii="Times New Roman" w:hAnsi="Times New Roman" w:cs="Times New Roman"/>
          <w:color w:val="auto"/>
          <w:sz w:val="24"/>
          <w:szCs w:val="24"/>
        </w:rPr>
        <w:t>/202</w:t>
      </w:r>
      <w:r w:rsidR="00E37981" w:rsidRPr="00AE0306">
        <w:rPr>
          <w:rStyle w:val="A0"/>
          <w:rFonts w:ascii="Times New Roman" w:hAnsi="Times New Roman" w:cs="Times New Roman"/>
          <w:color w:val="auto"/>
          <w:sz w:val="24"/>
          <w:szCs w:val="24"/>
        </w:rPr>
        <w:t>3</w:t>
      </w:r>
      <w:r w:rsidRPr="00AE0306">
        <w:rPr>
          <w:rStyle w:val="A0"/>
          <w:rFonts w:ascii="Times New Roman" w:hAnsi="Times New Roman" w:cs="Times New Roman"/>
          <w:color w:val="auto"/>
          <w:sz w:val="24"/>
          <w:szCs w:val="24"/>
        </w:rPr>
        <w:t xml:space="preserve"> (anexado); </w:t>
      </w:r>
    </w:p>
    <w:p w14:paraId="3F45D171"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Style w:val="A0"/>
          <w:rFonts w:ascii="Times New Roman" w:hAnsi="Times New Roman" w:cs="Times New Roman"/>
          <w:color w:val="auto"/>
          <w:sz w:val="24"/>
          <w:szCs w:val="24"/>
        </w:rPr>
      </w:pPr>
    </w:p>
    <w:p w14:paraId="7480AAF3" w14:textId="7877AB40"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r w:rsidRPr="00AE0306">
        <w:rPr>
          <w:rStyle w:val="A0"/>
          <w:rFonts w:ascii="Times New Roman" w:hAnsi="Times New Roman" w:cs="Times New Roman"/>
          <w:color w:val="auto"/>
          <w:sz w:val="24"/>
          <w:szCs w:val="24"/>
        </w:rPr>
        <w:t>2) foram seguidas as recomendações cont</w:t>
      </w:r>
      <w:r w:rsidR="00D627A2" w:rsidRPr="00AE0306">
        <w:rPr>
          <w:rStyle w:val="A0"/>
          <w:rFonts w:ascii="Times New Roman" w:hAnsi="Times New Roman" w:cs="Times New Roman"/>
          <w:color w:val="auto"/>
          <w:sz w:val="24"/>
          <w:szCs w:val="24"/>
        </w:rPr>
        <w:t>idas no PARECER REFERENCIAL PGE</w:t>
      </w:r>
      <w:r w:rsidRPr="00AE0306">
        <w:rPr>
          <w:rStyle w:val="A0"/>
          <w:rFonts w:ascii="Times New Roman" w:hAnsi="Times New Roman" w:cs="Times New Roman"/>
          <w:color w:val="auto"/>
          <w:sz w:val="24"/>
          <w:szCs w:val="24"/>
        </w:rPr>
        <w:t>/MS/</w:t>
      </w:r>
      <w:r w:rsidR="00D627A2" w:rsidRPr="00AE0306">
        <w:rPr>
          <w:rStyle w:val="A0"/>
          <w:rFonts w:ascii="Times New Roman" w:hAnsi="Times New Roman" w:cs="Times New Roman"/>
          <w:color w:val="auto"/>
          <w:sz w:val="24"/>
          <w:szCs w:val="24"/>
        </w:rPr>
        <w:t>CJUR-</w:t>
      </w:r>
      <w:r w:rsidR="00E37981" w:rsidRPr="00AE0306">
        <w:rPr>
          <w:rStyle w:val="A0"/>
          <w:rFonts w:ascii="Times New Roman" w:hAnsi="Times New Roman" w:cs="Times New Roman"/>
          <w:color w:val="auto"/>
          <w:sz w:val="24"/>
          <w:szCs w:val="24"/>
        </w:rPr>
        <w:t>SEL</w:t>
      </w:r>
      <w:r w:rsidRPr="00AE0306">
        <w:rPr>
          <w:rStyle w:val="A0"/>
          <w:rFonts w:ascii="Times New Roman" w:hAnsi="Times New Roman" w:cs="Times New Roman"/>
          <w:color w:val="auto"/>
          <w:sz w:val="24"/>
          <w:szCs w:val="24"/>
        </w:rPr>
        <w:t>/Nº 00</w:t>
      </w:r>
      <w:r w:rsidR="00E37981" w:rsidRPr="00AE0306">
        <w:rPr>
          <w:rStyle w:val="A0"/>
          <w:rFonts w:ascii="Times New Roman" w:hAnsi="Times New Roman" w:cs="Times New Roman"/>
          <w:color w:val="auto"/>
          <w:sz w:val="24"/>
          <w:szCs w:val="24"/>
        </w:rPr>
        <w:t>1</w:t>
      </w:r>
      <w:r w:rsidRPr="00AE0306">
        <w:rPr>
          <w:rStyle w:val="A0"/>
          <w:rFonts w:ascii="Times New Roman" w:hAnsi="Times New Roman" w:cs="Times New Roman"/>
          <w:color w:val="auto"/>
          <w:sz w:val="24"/>
          <w:szCs w:val="24"/>
        </w:rPr>
        <w:t>/202</w:t>
      </w:r>
      <w:r w:rsidR="00E37981" w:rsidRPr="00AE0306">
        <w:rPr>
          <w:rStyle w:val="A0"/>
          <w:rFonts w:ascii="Times New Roman" w:hAnsi="Times New Roman" w:cs="Times New Roman"/>
          <w:color w:val="auto"/>
          <w:sz w:val="24"/>
          <w:szCs w:val="24"/>
        </w:rPr>
        <w:t>3</w:t>
      </w:r>
      <w:r w:rsidRPr="00AE0306">
        <w:rPr>
          <w:rStyle w:val="A0"/>
          <w:rFonts w:ascii="Times New Roman" w:hAnsi="Times New Roman" w:cs="Times New Roman"/>
          <w:color w:val="auto"/>
          <w:sz w:val="24"/>
          <w:szCs w:val="24"/>
        </w:rPr>
        <w:t>;</w:t>
      </w:r>
    </w:p>
    <w:p w14:paraId="072B1063"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b/>
          <w:sz w:val="24"/>
          <w:szCs w:val="24"/>
        </w:rPr>
      </w:pPr>
    </w:p>
    <w:p w14:paraId="4D5CB5F7"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r w:rsidRPr="00AE0306">
        <w:rPr>
          <w:rFonts w:ascii="Times New Roman" w:hAnsi="Times New Roman"/>
          <w:sz w:val="24"/>
          <w:szCs w:val="24"/>
        </w:rPr>
        <w:t>Por ser verdade, dou fé.</w:t>
      </w:r>
    </w:p>
    <w:p w14:paraId="78BDA0BD"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p>
    <w:p w14:paraId="1DCC74F6"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r w:rsidRPr="00AE0306">
        <w:rPr>
          <w:rFonts w:ascii="Times New Roman" w:hAnsi="Times New Roman"/>
          <w:sz w:val="24"/>
          <w:szCs w:val="24"/>
        </w:rPr>
        <w:t>Campo Grande (MS), ..... de ................ de .........</w:t>
      </w:r>
    </w:p>
    <w:p w14:paraId="47AFD669"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szCs w:val="24"/>
        </w:rPr>
      </w:pPr>
    </w:p>
    <w:p w14:paraId="3FC15A34"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sz w:val="24"/>
        </w:rPr>
      </w:pPr>
      <w:r w:rsidRPr="00AE0306">
        <w:rPr>
          <w:rFonts w:ascii="Times New Roman" w:hAnsi="Times New Roman"/>
          <w:sz w:val="24"/>
        </w:rPr>
        <w:t>[Nome do servidor]</w:t>
      </w:r>
    </w:p>
    <w:p w14:paraId="77AE517B"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rPr>
      </w:pPr>
      <w:r w:rsidRPr="00AE0306">
        <w:rPr>
          <w:rFonts w:ascii="Times New Roman" w:hAnsi="Times New Roman"/>
          <w:sz w:val="24"/>
        </w:rPr>
        <w:t>[cargo/função]</w:t>
      </w:r>
    </w:p>
    <w:p w14:paraId="7578DEA8" w14:textId="77777777" w:rsidR="00CE2054" w:rsidRPr="00AE0306" w:rsidRDefault="00CE2054" w:rsidP="00283F73">
      <w:pPr>
        <w:pStyle w:val="Cabealho"/>
        <w:pBdr>
          <w:top w:val="single" w:sz="4" w:space="1" w:color="auto"/>
          <w:left w:val="single" w:sz="4" w:space="4" w:color="auto"/>
          <w:bottom w:val="single" w:sz="4" w:space="1" w:color="auto"/>
          <w:right w:val="single" w:sz="4" w:space="4" w:color="auto"/>
        </w:pBdr>
        <w:tabs>
          <w:tab w:val="clear" w:pos="4419"/>
          <w:tab w:val="clear" w:pos="8838"/>
          <w:tab w:val="left" w:pos="6663"/>
        </w:tabs>
        <w:spacing w:after="160"/>
        <w:rPr>
          <w:rFonts w:ascii="Times New Roman" w:hAnsi="Times New Roman"/>
          <w:b/>
        </w:rPr>
      </w:pPr>
      <w:r w:rsidRPr="00AE0306">
        <w:rPr>
          <w:rFonts w:ascii="Times New Roman" w:hAnsi="Times New Roman"/>
          <w:sz w:val="20"/>
        </w:rPr>
        <w:t>Matrícula n.° .....................</w:t>
      </w:r>
    </w:p>
    <w:p w14:paraId="3902C05A" w14:textId="77777777" w:rsidR="00CE2054" w:rsidRPr="00AE0306" w:rsidRDefault="00CE2054" w:rsidP="00283F73">
      <w:pPr>
        <w:pBdr>
          <w:top w:val="single" w:sz="4" w:space="1" w:color="auto"/>
          <w:left w:val="single" w:sz="4" w:space="4" w:color="auto"/>
          <w:bottom w:val="single" w:sz="4" w:space="1" w:color="auto"/>
          <w:right w:val="single" w:sz="4" w:space="4" w:color="auto"/>
        </w:pBdr>
      </w:pPr>
    </w:p>
    <w:p w14:paraId="399A1722" w14:textId="77777777" w:rsidR="00CE2054" w:rsidRPr="00AE0306" w:rsidRDefault="00CE2054" w:rsidP="00283F73">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szCs w:val="24"/>
        </w:rPr>
      </w:pPr>
    </w:p>
    <w:p w14:paraId="67765668" w14:textId="77777777" w:rsidR="00CE2054" w:rsidRPr="00AE0306" w:rsidRDefault="00CE2054" w:rsidP="00283F73">
      <w:pPr>
        <w:spacing w:line="360" w:lineRule="auto"/>
        <w:jc w:val="both"/>
        <w:rPr>
          <w:rFonts w:ascii="Times New Roman" w:hAnsi="Times New Roman" w:cs="Times New Roman"/>
          <w:b/>
          <w:sz w:val="24"/>
          <w:szCs w:val="24"/>
        </w:rPr>
      </w:pPr>
    </w:p>
    <w:p w14:paraId="41DDB291" w14:textId="77777777" w:rsidR="00CE2054" w:rsidRPr="00AE0306" w:rsidRDefault="00CE2054" w:rsidP="00283F73">
      <w:pPr>
        <w:spacing w:line="360" w:lineRule="auto"/>
        <w:jc w:val="both"/>
        <w:rPr>
          <w:rFonts w:ascii="Times New Roman" w:hAnsi="Times New Roman" w:cs="Times New Roman"/>
          <w:b/>
          <w:sz w:val="24"/>
          <w:szCs w:val="24"/>
        </w:rPr>
      </w:pPr>
    </w:p>
    <w:p w14:paraId="711835E5" w14:textId="77777777" w:rsidR="00CE2054" w:rsidRPr="00AE0306" w:rsidRDefault="00CE2054" w:rsidP="00283F73">
      <w:pPr>
        <w:rPr>
          <w:rFonts w:ascii="Times New Roman" w:hAnsi="Times New Roman" w:cs="Times New Roman"/>
          <w:b/>
          <w:sz w:val="24"/>
          <w:szCs w:val="24"/>
        </w:rPr>
      </w:pPr>
      <w:r w:rsidRPr="00AE0306">
        <w:rPr>
          <w:rFonts w:ascii="Times New Roman" w:hAnsi="Times New Roman" w:cs="Times New Roman"/>
          <w:b/>
          <w:sz w:val="24"/>
          <w:szCs w:val="24"/>
        </w:rPr>
        <w:br w:type="page"/>
      </w:r>
    </w:p>
    <w:p w14:paraId="48E6EC46" w14:textId="77777777" w:rsidR="00F44742" w:rsidRPr="00AE0306" w:rsidRDefault="00F44742" w:rsidP="00F44742">
      <w:pPr>
        <w:widowControl w:val="0"/>
        <w:autoSpaceDE w:val="0"/>
        <w:autoSpaceDN w:val="0"/>
        <w:spacing w:after="120" w:line="360" w:lineRule="auto"/>
        <w:ind w:right="-142"/>
        <w:jc w:val="center"/>
        <w:rPr>
          <w:rFonts w:ascii="Times New Roman" w:eastAsia="Times New Roman" w:hAnsi="Times New Roman" w:cs="Times New Roman"/>
          <w:b/>
          <w:bCs/>
          <w:smallCaps/>
          <w:sz w:val="24"/>
          <w:szCs w:val="24"/>
          <w:u w:val="single"/>
          <w:lang w:val="pt-PT"/>
        </w:rPr>
      </w:pPr>
      <w:r w:rsidRPr="00AE0306">
        <w:rPr>
          <w:rFonts w:ascii="Times New Roman" w:eastAsia="Times New Roman" w:hAnsi="Times New Roman" w:cs="Times New Roman"/>
          <w:b/>
          <w:bCs/>
          <w:smallCaps/>
          <w:sz w:val="24"/>
          <w:szCs w:val="24"/>
          <w:u w:val="single"/>
          <w:lang w:val="pt-PT"/>
        </w:rPr>
        <w:lastRenderedPageBreak/>
        <w:t xml:space="preserve">ANEXO II </w:t>
      </w:r>
    </w:p>
    <w:p w14:paraId="5E0322C7" w14:textId="77777777" w:rsidR="00F44742" w:rsidRPr="00AE0306" w:rsidRDefault="00F44742" w:rsidP="00F44742">
      <w:pPr>
        <w:widowControl w:val="0"/>
        <w:autoSpaceDE w:val="0"/>
        <w:autoSpaceDN w:val="0"/>
        <w:spacing w:after="120" w:line="360" w:lineRule="auto"/>
        <w:ind w:right="-142"/>
        <w:jc w:val="center"/>
        <w:rPr>
          <w:rFonts w:ascii="Times New Roman" w:eastAsia="Times New Roman" w:hAnsi="Times New Roman" w:cs="Times New Roman"/>
          <w:b/>
          <w:bCs/>
          <w:sz w:val="24"/>
          <w:szCs w:val="24"/>
          <w:lang w:val="pt-PT"/>
        </w:rPr>
      </w:pPr>
      <w:r w:rsidRPr="00AE0306">
        <w:rPr>
          <w:rFonts w:ascii="Times New Roman" w:eastAsia="Times New Roman" w:hAnsi="Times New Roman" w:cs="Times New Roman"/>
          <w:b/>
          <w:bCs/>
          <w:smallCaps/>
          <w:sz w:val="24"/>
          <w:szCs w:val="24"/>
          <w:lang w:val="pt-PT"/>
        </w:rPr>
        <w:t>LISTA DE VERIFICAÇÃO – FASE PREPARATÓRIA DO PREGÃO ELETRÔNICO</w:t>
      </w:r>
    </w:p>
    <w:p w14:paraId="395A14F8" w14:textId="77777777" w:rsidR="00F44742" w:rsidRPr="00AE0306" w:rsidRDefault="00F44742" w:rsidP="00F44742">
      <w:pPr>
        <w:widowControl w:val="0"/>
        <w:numPr>
          <w:ilvl w:val="0"/>
          <w:numId w:val="24"/>
        </w:numPr>
        <w:autoSpaceDE w:val="0"/>
        <w:autoSpaceDN w:val="0"/>
        <w:adjustRightInd w:val="0"/>
        <w:spacing w:after="120" w:line="240" w:lineRule="auto"/>
        <w:ind w:left="0" w:hanging="502"/>
        <w:contextualSpacing/>
        <w:jc w:val="both"/>
        <w:rPr>
          <w:rFonts w:ascii="Times New Roman" w:eastAsia="Calibri" w:hAnsi="Times New Roman" w:cs="Times New Roman"/>
          <w:bCs/>
        </w:rPr>
      </w:pPr>
      <w:r w:rsidRPr="00AE0306">
        <w:rPr>
          <w:rFonts w:ascii="Times New Roman" w:eastAsia="Calibri" w:hAnsi="Times New Roman" w:cs="Times New Roman"/>
          <w:bCs/>
        </w:rPr>
        <w:t xml:space="preserve">A lista de verificação representa os requisitos mínimos a serem analisados pela área técnica e não dispensa a necessidade de se verificar as peculiaridades do caso concreto para tratamento de questões as quais, pela sua especificidade, não poderiam ser abordadas em uma lista geral. </w:t>
      </w:r>
    </w:p>
    <w:p w14:paraId="4FE33E6B" w14:textId="77777777" w:rsidR="00F44742" w:rsidRPr="00AE0306" w:rsidRDefault="00F44742" w:rsidP="00F44742">
      <w:pPr>
        <w:widowControl w:val="0"/>
        <w:numPr>
          <w:ilvl w:val="0"/>
          <w:numId w:val="24"/>
        </w:numPr>
        <w:autoSpaceDE w:val="0"/>
        <w:autoSpaceDN w:val="0"/>
        <w:adjustRightInd w:val="0"/>
        <w:spacing w:after="120" w:line="240" w:lineRule="auto"/>
        <w:ind w:left="0" w:hanging="502"/>
        <w:contextualSpacing/>
        <w:jc w:val="both"/>
        <w:rPr>
          <w:rFonts w:ascii="Times New Roman" w:eastAsia="Calibri" w:hAnsi="Times New Roman" w:cs="Times New Roman"/>
          <w:bCs/>
        </w:rPr>
      </w:pPr>
      <w:r w:rsidRPr="00AE0306">
        <w:rPr>
          <w:rFonts w:ascii="Times New Roman" w:eastAsia="Calibri" w:hAnsi="Times New Roman" w:cs="Times New Roman"/>
          <w:bCs/>
        </w:rPr>
        <w:t>Recomenda-se a juntada da lista preenchida nos autos e a cientificação dos seus termos aos órgãos assessorados respectivos.</w:t>
      </w:r>
    </w:p>
    <w:p w14:paraId="5BDE5DEB" w14:textId="77777777" w:rsidR="00F44742" w:rsidRPr="00AE0306" w:rsidRDefault="00F44742" w:rsidP="00F44742">
      <w:pPr>
        <w:widowControl w:val="0"/>
        <w:numPr>
          <w:ilvl w:val="0"/>
          <w:numId w:val="24"/>
        </w:numPr>
        <w:autoSpaceDE w:val="0"/>
        <w:autoSpaceDN w:val="0"/>
        <w:adjustRightInd w:val="0"/>
        <w:spacing w:after="120" w:line="240" w:lineRule="auto"/>
        <w:ind w:left="0" w:hanging="502"/>
        <w:contextualSpacing/>
        <w:jc w:val="both"/>
        <w:rPr>
          <w:rFonts w:ascii="Times New Roman" w:eastAsia="Calibri" w:hAnsi="Times New Roman" w:cs="Times New Roman"/>
          <w:bCs/>
        </w:rPr>
      </w:pPr>
      <w:r w:rsidRPr="00AE0306">
        <w:rPr>
          <w:rFonts w:ascii="Times New Roman" w:eastAsia="Calibri" w:hAnsi="Times New Roman" w:cs="Times New Roman"/>
          <w:bCs/>
        </w:rPr>
        <w:t>Na utilização da presente lista, deverá o servidor responsável analisar e verificar se eventual RESPOSTA NEGATIVA é causa para devolução do processo para complementação da instrução ou se pode ser objeto de ressalva.</w:t>
      </w:r>
    </w:p>
    <w:p w14:paraId="7E64A23C" w14:textId="25CACF6A" w:rsidR="00827CD0" w:rsidRPr="00AE0306" w:rsidRDefault="00F44742" w:rsidP="00827CD0">
      <w:pPr>
        <w:widowControl w:val="0"/>
        <w:numPr>
          <w:ilvl w:val="0"/>
          <w:numId w:val="24"/>
        </w:numPr>
        <w:autoSpaceDE w:val="0"/>
        <w:autoSpaceDN w:val="0"/>
        <w:adjustRightInd w:val="0"/>
        <w:spacing w:after="120" w:line="240" w:lineRule="auto"/>
        <w:ind w:left="0" w:hanging="502"/>
        <w:contextualSpacing/>
        <w:jc w:val="both"/>
        <w:rPr>
          <w:rFonts w:ascii="Times New Roman" w:eastAsia="Calibri" w:hAnsi="Times New Roman" w:cs="Times New Roman"/>
          <w:bCs/>
        </w:rPr>
      </w:pPr>
      <w:r w:rsidRPr="00AE0306">
        <w:rPr>
          <w:rFonts w:ascii="Times New Roman" w:eastAsia="Calibri" w:hAnsi="Times New Roman" w:cs="Times New Roman"/>
          <w:bCs/>
        </w:rPr>
        <w:t>Na 3ª coluna, preencher apenas com as letras “S”, “N”, “N.A.”, sendo: S – SIM, N – NÃO, N.A. – NÃO SE APLICA.</w:t>
      </w:r>
    </w:p>
    <w:p w14:paraId="7083E082" w14:textId="77777777" w:rsidR="00827CD0" w:rsidRPr="00AE0306" w:rsidRDefault="00827CD0" w:rsidP="00827CD0">
      <w:pPr>
        <w:widowControl w:val="0"/>
        <w:autoSpaceDE w:val="0"/>
        <w:autoSpaceDN w:val="0"/>
        <w:adjustRightInd w:val="0"/>
        <w:spacing w:after="120" w:line="240" w:lineRule="auto"/>
        <w:contextualSpacing/>
        <w:jc w:val="both"/>
        <w:rPr>
          <w:rFonts w:ascii="Times New Roman" w:eastAsia="Calibri" w:hAnsi="Times New Roman" w:cs="Times New Roman"/>
          <w:bCs/>
        </w:rPr>
      </w:pPr>
    </w:p>
    <w:p w14:paraId="5E685A08" w14:textId="77777777" w:rsidR="00F44742" w:rsidRPr="00AE0306" w:rsidRDefault="00F44742" w:rsidP="00F44742">
      <w:pPr>
        <w:widowControl w:val="0"/>
        <w:autoSpaceDE w:val="0"/>
        <w:autoSpaceDN w:val="0"/>
        <w:spacing w:after="120" w:line="240" w:lineRule="auto"/>
        <w:rPr>
          <w:rFonts w:ascii="Times New Roman" w:eastAsia="Times New Roman" w:hAnsi="Times New Roman" w:cs="Times New Roman"/>
          <w:b/>
          <w:sz w:val="26"/>
          <w:szCs w:val="23"/>
          <w:lang w:val="pt-PT"/>
        </w:rPr>
      </w:pPr>
    </w:p>
    <w:p w14:paraId="45520C39" w14:textId="7391017E" w:rsidR="00827CD0" w:rsidRPr="00AE0306" w:rsidRDefault="00F44742" w:rsidP="00827CD0">
      <w:pPr>
        <w:widowControl w:val="0"/>
        <w:autoSpaceDE w:val="0"/>
        <w:autoSpaceDN w:val="0"/>
        <w:spacing w:after="120" w:line="240" w:lineRule="auto"/>
        <w:ind w:right="-1136"/>
        <w:jc w:val="center"/>
        <w:rPr>
          <w:rFonts w:ascii="Times New Roman" w:eastAsia="Times New Roman" w:hAnsi="Times New Roman" w:cs="Times New Roman"/>
          <w:b/>
          <w:sz w:val="26"/>
          <w:szCs w:val="23"/>
          <w:lang w:val="pt-PT"/>
        </w:rPr>
      </w:pPr>
      <w:r w:rsidRPr="00AE0306">
        <w:rPr>
          <w:rFonts w:ascii="Times New Roman" w:eastAsia="Times New Roman" w:hAnsi="Times New Roman" w:cs="Times New Roman"/>
          <w:b/>
          <w:sz w:val="26"/>
          <w:szCs w:val="23"/>
          <w:lang w:val="pt-PT"/>
        </w:rPr>
        <w:t>LISTA DE VERIFICAÇÃO DO ORGÃO</w:t>
      </w:r>
      <w:r w:rsidR="00E37981" w:rsidRPr="00AE0306">
        <w:rPr>
          <w:rFonts w:ascii="Times New Roman" w:eastAsia="Times New Roman" w:hAnsi="Times New Roman" w:cs="Times New Roman"/>
          <w:b/>
          <w:sz w:val="26"/>
          <w:szCs w:val="23"/>
          <w:lang w:val="pt-PT"/>
        </w:rPr>
        <w:t>/ENTIDADE</w:t>
      </w:r>
      <w:r w:rsidRPr="00AE0306">
        <w:rPr>
          <w:rFonts w:ascii="Times New Roman" w:eastAsia="Times New Roman" w:hAnsi="Times New Roman" w:cs="Times New Roman"/>
          <w:b/>
          <w:sz w:val="26"/>
          <w:szCs w:val="23"/>
          <w:lang w:val="pt-PT"/>
        </w:rPr>
        <w:t xml:space="preserve"> DEMANDANTE</w:t>
      </w:r>
    </w:p>
    <w:p w14:paraId="4C219EFA" w14:textId="77777777" w:rsidR="00827CD0" w:rsidRPr="00AE0306" w:rsidRDefault="00827CD0" w:rsidP="00827CD0">
      <w:pPr>
        <w:widowControl w:val="0"/>
        <w:autoSpaceDE w:val="0"/>
        <w:autoSpaceDN w:val="0"/>
        <w:spacing w:after="120" w:line="240" w:lineRule="auto"/>
        <w:rPr>
          <w:rFonts w:ascii="Times New Roman" w:eastAsia="Times New Roman" w:hAnsi="Times New Roman" w:cs="Times New Roman"/>
          <w:b/>
          <w:sz w:val="26"/>
          <w:szCs w:val="23"/>
        </w:rPr>
      </w:pPr>
    </w:p>
    <w:tbl>
      <w:tblPr>
        <w:tblStyle w:val="TableNormal"/>
        <w:tblW w:w="10474"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0"/>
        <w:gridCol w:w="7461"/>
        <w:gridCol w:w="1418"/>
        <w:gridCol w:w="835"/>
      </w:tblGrid>
      <w:tr w:rsidR="00AE0306" w:rsidRPr="00AE0306" w14:paraId="249C5507" w14:textId="77777777" w:rsidTr="0012105D">
        <w:trPr>
          <w:trHeight w:val="299"/>
        </w:trPr>
        <w:tc>
          <w:tcPr>
            <w:tcW w:w="760" w:type="dxa"/>
            <w:shd w:val="clear" w:color="auto" w:fill="808080"/>
            <w:vAlign w:val="center"/>
          </w:tcPr>
          <w:p w14:paraId="40DCAA5F"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6C80D846"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PRÉVIA AUTORIZAÇÃO DA SEGOV</w:t>
            </w:r>
          </w:p>
        </w:tc>
        <w:tc>
          <w:tcPr>
            <w:tcW w:w="1418" w:type="dxa"/>
            <w:shd w:val="clear" w:color="auto" w:fill="808080"/>
            <w:vAlign w:val="center"/>
          </w:tcPr>
          <w:p w14:paraId="25F5E680"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659873B8"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61A09F61" w14:textId="77777777" w:rsidTr="0012105D">
        <w:trPr>
          <w:trHeight w:val="299"/>
        </w:trPr>
        <w:tc>
          <w:tcPr>
            <w:tcW w:w="760" w:type="dxa"/>
            <w:vAlign w:val="center"/>
          </w:tcPr>
          <w:p w14:paraId="1C76B8B3" w14:textId="77777777" w:rsidR="00827CD0" w:rsidRPr="00AE0306" w:rsidRDefault="00827CD0" w:rsidP="0012105D">
            <w:pPr>
              <w:spacing w:after="120" w:line="257"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119865A0" w14:textId="77777777" w:rsidR="00827CD0" w:rsidRPr="00AE0306" w:rsidRDefault="00827CD0" w:rsidP="0012105D">
            <w:pPr>
              <w:tabs>
                <w:tab w:val="left" w:pos="5047"/>
              </w:tabs>
              <w:spacing w:after="120" w:line="257" w:lineRule="exact"/>
              <w:ind w:left="85" w:right="46"/>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no início dos autos o documento que contém a concordância da Secretaria de Estado de Governo e Gestão Estratégica (SEGOV) para a continuidade da contratação? (art. 3º do Decreto Estadual nº 16.138/2023)</w:t>
            </w:r>
          </w:p>
        </w:tc>
        <w:tc>
          <w:tcPr>
            <w:tcW w:w="1418" w:type="dxa"/>
          </w:tcPr>
          <w:p w14:paraId="1E7F6040" w14:textId="77777777" w:rsidR="00827CD0" w:rsidRPr="00AE0306" w:rsidRDefault="00827CD0" w:rsidP="0012105D">
            <w:pPr>
              <w:spacing w:after="120" w:line="257" w:lineRule="exact"/>
              <w:ind w:left="188"/>
              <w:rPr>
                <w:rFonts w:ascii="Times New Roman" w:eastAsia="Times New Roman" w:hAnsi="Times New Roman" w:cs="Times New Roman"/>
                <w:lang w:val="pt-BR"/>
              </w:rPr>
            </w:pPr>
          </w:p>
        </w:tc>
        <w:tc>
          <w:tcPr>
            <w:tcW w:w="835" w:type="dxa"/>
          </w:tcPr>
          <w:p w14:paraId="179C48C6" w14:textId="77777777" w:rsidR="00827CD0" w:rsidRPr="00AE0306" w:rsidRDefault="00827CD0" w:rsidP="0012105D">
            <w:pPr>
              <w:spacing w:after="120" w:line="257" w:lineRule="exact"/>
              <w:ind w:left="341" w:right="328"/>
              <w:jc w:val="center"/>
              <w:rPr>
                <w:rFonts w:ascii="Times New Roman" w:eastAsia="Times New Roman" w:hAnsi="Times New Roman" w:cs="Times New Roman"/>
                <w:lang w:val="pt-BR"/>
              </w:rPr>
            </w:pPr>
          </w:p>
        </w:tc>
      </w:tr>
      <w:tr w:rsidR="00AE0306" w:rsidRPr="00AE0306" w14:paraId="12ED525A" w14:textId="77777777" w:rsidTr="0012105D">
        <w:trPr>
          <w:trHeight w:val="299"/>
        </w:trPr>
        <w:tc>
          <w:tcPr>
            <w:tcW w:w="760" w:type="dxa"/>
            <w:vAlign w:val="center"/>
          </w:tcPr>
          <w:p w14:paraId="6A0F4911" w14:textId="77777777" w:rsidR="00827CD0" w:rsidRPr="00AE0306" w:rsidRDefault="00827CD0" w:rsidP="0012105D">
            <w:pPr>
              <w:spacing w:after="120" w:line="257" w:lineRule="exact"/>
              <w:jc w:val="center"/>
              <w:rPr>
                <w:rFonts w:ascii="Times New Roman" w:eastAsia="Times New Roman" w:hAnsi="Times New Roman" w:cs="Times New Roman"/>
                <w:b/>
              </w:rPr>
            </w:pPr>
            <w:r w:rsidRPr="00AE0306">
              <w:rPr>
                <w:rFonts w:ascii="Times New Roman" w:eastAsia="Times New Roman" w:hAnsi="Times New Roman" w:cs="Times New Roman"/>
                <w:b/>
              </w:rPr>
              <w:t>1.1.</w:t>
            </w:r>
          </w:p>
        </w:tc>
        <w:tc>
          <w:tcPr>
            <w:tcW w:w="7461" w:type="dxa"/>
          </w:tcPr>
          <w:p w14:paraId="6773028A" w14:textId="77777777" w:rsidR="00827CD0" w:rsidRPr="00AE0306" w:rsidRDefault="00827CD0" w:rsidP="0012105D">
            <w:pPr>
              <w:tabs>
                <w:tab w:val="left" w:pos="5047"/>
              </w:tabs>
              <w:spacing w:after="120" w:line="257" w:lineRule="exact"/>
              <w:ind w:left="85" w:right="46"/>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Caso a concordância de que trata o item 1 tenha sido proferida com ressalvas, foram promovidas as alterações indicadas pela SEGOV? </w:t>
            </w:r>
          </w:p>
        </w:tc>
        <w:tc>
          <w:tcPr>
            <w:tcW w:w="1418" w:type="dxa"/>
          </w:tcPr>
          <w:p w14:paraId="42356184" w14:textId="77777777" w:rsidR="00827CD0" w:rsidRPr="00AE0306" w:rsidRDefault="00827CD0" w:rsidP="0012105D">
            <w:pPr>
              <w:spacing w:after="120" w:line="257" w:lineRule="exact"/>
              <w:ind w:left="188"/>
              <w:rPr>
                <w:rFonts w:ascii="Times New Roman" w:eastAsia="Times New Roman" w:hAnsi="Times New Roman" w:cs="Times New Roman"/>
              </w:rPr>
            </w:pPr>
          </w:p>
        </w:tc>
        <w:tc>
          <w:tcPr>
            <w:tcW w:w="835" w:type="dxa"/>
          </w:tcPr>
          <w:p w14:paraId="14EAE8B0" w14:textId="77777777" w:rsidR="00827CD0" w:rsidRPr="00AE0306" w:rsidRDefault="00827CD0" w:rsidP="0012105D">
            <w:pPr>
              <w:spacing w:after="120" w:line="257" w:lineRule="exact"/>
              <w:ind w:left="341" w:right="328"/>
              <w:jc w:val="center"/>
              <w:rPr>
                <w:rFonts w:ascii="Times New Roman" w:eastAsia="Times New Roman" w:hAnsi="Times New Roman" w:cs="Times New Roman"/>
              </w:rPr>
            </w:pPr>
          </w:p>
        </w:tc>
      </w:tr>
      <w:tr w:rsidR="00AE0306" w:rsidRPr="00AE0306" w14:paraId="05F1CE76" w14:textId="77777777" w:rsidTr="0012105D">
        <w:trPr>
          <w:trHeight w:val="299"/>
        </w:trPr>
        <w:tc>
          <w:tcPr>
            <w:tcW w:w="760" w:type="dxa"/>
            <w:shd w:val="clear" w:color="auto" w:fill="808080"/>
            <w:vAlign w:val="center"/>
          </w:tcPr>
          <w:p w14:paraId="357CF2D4"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157C8855"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PROCEDIMENTO INICIAL</w:t>
            </w:r>
          </w:p>
        </w:tc>
        <w:tc>
          <w:tcPr>
            <w:tcW w:w="1418" w:type="dxa"/>
            <w:shd w:val="clear" w:color="auto" w:fill="808080"/>
            <w:vAlign w:val="center"/>
          </w:tcPr>
          <w:p w14:paraId="6586EC22"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041DCA98"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1F3FDEB2" w14:textId="77777777" w:rsidTr="0012105D">
        <w:trPr>
          <w:trHeight w:val="299"/>
        </w:trPr>
        <w:tc>
          <w:tcPr>
            <w:tcW w:w="760" w:type="dxa"/>
            <w:vAlign w:val="center"/>
          </w:tcPr>
          <w:p w14:paraId="288A42E9" w14:textId="77777777" w:rsidR="00827CD0" w:rsidRPr="00AE0306" w:rsidRDefault="00827CD0" w:rsidP="0012105D">
            <w:pPr>
              <w:spacing w:after="120" w:line="257"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5B35A768" w14:textId="77777777" w:rsidR="00827CD0" w:rsidRPr="00AE0306" w:rsidRDefault="00827CD0" w:rsidP="0012105D">
            <w:pPr>
              <w:tabs>
                <w:tab w:val="left" w:pos="5047"/>
              </w:tabs>
              <w:spacing w:after="120" w:line="257" w:lineRule="exact"/>
              <w:ind w:left="85" w:right="46"/>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Houve abertura de processo administrativo pela autoridade máxima do órgão ou da entidade demandante, por meio da elaboração do “</w:t>
            </w:r>
            <w:r w:rsidRPr="00AE0306">
              <w:rPr>
                <w:rFonts w:ascii="Times New Roman" w:eastAsia="Times New Roman" w:hAnsi="Times New Roman" w:cs="Times New Roman"/>
                <w:i/>
                <w:iCs/>
                <w:lang w:val="pt-BR"/>
              </w:rPr>
              <w:t>instrumento de oficialização de pedido</w:t>
            </w:r>
            <w:r w:rsidRPr="00AE0306">
              <w:rPr>
                <w:rFonts w:ascii="Times New Roman" w:eastAsia="Times New Roman" w:hAnsi="Times New Roman" w:cs="Times New Roman"/>
                <w:lang w:val="pt-BR"/>
              </w:rPr>
              <w:t>”? (art. 5º do Decreto nº 15.941/2022).</w:t>
            </w:r>
          </w:p>
          <w:p w14:paraId="3464148D" w14:textId="77777777" w:rsidR="00827CD0" w:rsidRPr="00AE0306" w:rsidRDefault="00827CD0" w:rsidP="0012105D">
            <w:pPr>
              <w:tabs>
                <w:tab w:val="left" w:pos="5047"/>
              </w:tabs>
              <w:spacing w:after="120" w:line="257" w:lineRule="exact"/>
              <w:ind w:left="85" w:right="46"/>
              <w:jc w:val="both"/>
              <w:rPr>
                <w:rFonts w:ascii="Times New Roman" w:eastAsia="Times New Roman" w:hAnsi="Times New Roman" w:cs="Times New Roman"/>
                <w:lang w:val="pt-BR"/>
              </w:rPr>
            </w:pPr>
          </w:p>
          <w:p w14:paraId="7E7541E8" w14:textId="77777777" w:rsidR="00827CD0" w:rsidRPr="00AE0306" w:rsidRDefault="00827CD0" w:rsidP="0012105D">
            <w:pPr>
              <w:tabs>
                <w:tab w:val="left" w:pos="5047"/>
              </w:tabs>
              <w:spacing w:after="120" w:line="257" w:lineRule="exact"/>
              <w:ind w:left="85" w:right="46"/>
              <w:jc w:val="both"/>
              <w:rPr>
                <w:rFonts w:ascii="Times New Roman" w:eastAsia="Times New Roman" w:hAnsi="Times New Roman" w:cs="Times New Roman"/>
                <w:lang w:val="pt-BR"/>
              </w:rPr>
            </w:pPr>
            <w:r w:rsidRPr="00AE0306">
              <w:rPr>
                <w:rFonts w:ascii="Times New Roman" w:eastAsia="Times New Roman" w:hAnsi="Times New Roman" w:cs="Times New Roman"/>
                <w:i/>
                <w:lang w:val="pt-BR"/>
              </w:rPr>
              <w:t>OBS: A autoridade máxima com competência para a elaboração do “instrumento de oficialização de pedido” são os Secretários de Estado para os órgãos da Administração Direta (art. 26, III, da Lei Estadual n. 6.035/2022) e os Dirigentes Superiores das Entidades da Administração Indireta (art. 27, I e II, da Lei Estadual n. 6.035/2022).</w:t>
            </w:r>
          </w:p>
        </w:tc>
        <w:tc>
          <w:tcPr>
            <w:tcW w:w="1418" w:type="dxa"/>
          </w:tcPr>
          <w:p w14:paraId="736E5591" w14:textId="77777777" w:rsidR="00827CD0" w:rsidRPr="00AE0306" w:rsidRDefault="00827CD0" w:rsidP="0012105D">
            <w:pPr>
              <w:spacing w:after="120" w:line="257" w:lineRule="exact"/>
              <w:ind w:left="188"/>
              <w:rPr>
                <w:rFonts w:ascii="Times New Roman" w:eastAsia="Times New Roman" w:hAnsi="Times New Roman" w:cs="Times New Roman"/>
                <w:lang w:val="pt-BR"/>
              </w:rPr>
            </w:pPr>
          </w:p>
        </w:tc>
        <w:tc>
          <w:tcPr>
            <w:tcW w:w="835" w:type="dxa"/>
          </w:tcPr>
          <w:p w14:paraId="6AD59847" w14:textId="77777777" w:rsidR="00827CD0" w:rsidRPr="00AE0306" w:rsidRDefault="00827CD0" w:rsidP="0012105D">
            <w:pPr>
              <w:spacing w:after="120" w:line="257" w:lineRule="exact"/>
              <w:ind w:left="341" w:right="328"/>
              <w:jc w:val="center"/>
              <w:rPr>
                <w:rFonts w:ascii="Times New Roman" w:eastAsia="Times New Roman" w:hAnsi="Times New Roman" w:cs="Times New Roman"/>
                <w:lang w:val="pt-BR"/>
              </w:rPr>
            </w:pPr>
          </w:p>
        </w:tc>
      </w:tr>
      <w:tr w:rsidR="00AE0306" w:rsidRPr="00AE0306" w14:paraId="08EAF7DE" w14:textId="77777777" w:rsidTr="0012105D">
        <w:trPr>
          <w:trHeight w:val="299"/>
        </w:trPr>
        <w:tc>
          <w:tcPr>
            <w:tcW w:w="760" w:type="dxa"/>
            <w:vAlign w:val="center"/>
          </w:tcPr>
          <w:p w14:paraId="704F12BA" w14:textId="77777777" w:rsidR="00827CD0" w:rsidRPr="00AE0306" w:rsidRDefault="00827CD0" w:rsidP="0012105D">
            <w:pPr>
              <w:spacing w:after="120" w:line="257"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1.1</w:t>
            </w:r>
          </w:p>
        </w:tc>
        <w:tc>
          <w:tcPr>
            <w:tcW w:w="7461" w:type="dxa"/>
          </w:tcPr>
          <w:p w14:paraId="248E4F06" w14:textId="77777777" w:rsidR="00827CD0" w:rsidRPr="00AE0306" w:rsidRDefault="00827CD0" w:rsidP="0012105D">
            <w:pPr>
              <w:spacing w:after="120" w:line="260"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Caso a atribuição para a abertura do procedimento tenha sido delegada pelas autoridades máximas (§2º do art. 5º do Decreto nº 15.941/2022), consta dos autos a portaria ou resolução delegando os poderes para o agente púbico delegatário?</w:t>
            </w:r>
          </w:p>
        </w:tc>
        <w:tc>
          <w:tcPr>
            <w:tcW w:w="1418" w:type="dxa"/>
          </w:tcPr>
          <w:p w14:paraId="027A70ED" w14:textId="77777777" w:rsidR="00827CD0" w:rsidRPr="00AE0306" w:rsidRDefault="00827CD0" w:rsidP="0012105D">
            <w:pPr>
              <w:spacing w:after="120" w:line="257" w:lineRule="exact"/>
              <w:ind w:left="188"/>
              <w:rPr>
                <w:rFonts w:ascii="Times New Roman" w:eastAsia="Times New Roman" w:hAnsi="Times New Roman" w:cs="Times New Roman"/>
                <w:lang w:val="pt-BR"/>
              </w:rPr>
            </w:pPr>
          </w:p>
        </w:tc>
        <w:tc>
          <w:tcPr>
            <w:tcW w:w="835" w:type="dxa"/>
          </w:tcPr>
          <w:p w14:paraId="2E4ADC1C" w14:textId="77777777" w:rsidR="00827CD0" w:rsidRPr="00AE0306" w:rsidRDefault="00827CD0" w:rsidP="0012105D">
            <w:pPr>
              <w:spacing w:after="120" w:line="257" w:lineRule="exact"/>
              <w:ind w:left="341" w:right="328"/>
              <w:jc w:val="center"/>
              <w:rPr>
                <w:rFonts w:ascii="Times New Roman" w:eastAsia="Times New Roman" w:hAnsi="Times New Roman" w:cs="Times New Roman"/>
                <w:lang w:val="pt-BR"/>
              </w:rPr>
            </w:pPr>
          </w:p>
        </w:tc>
      </w:tr>
      <w:tr w:rsidR="00AE0306" w:rsidRPr="00AE0306" w14:paraId="64258440" w14:textId="77777777" w:rsidTr="0012105D">
        <w:trPr>
          <w:trHeight w:val="299"/>
        </w:trPr>
        <w:tc>
          <w:tcPr>
            <w:tcW w:w="760" w:type="dxa"/>
            <w:vAlign w:val="center"/>
          </w:tcPr>
          <w:p w14:paraId="3933B406" w14:textId="77777777" w:rsidR="00827CD0" w:rsidRPr="00AE0306" w:rsidRDefault="00827CD0" w:rsidP="0012105D">
            <w:pPr>
              <w:spacing w:after="120" w:line="257"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w:t>
            </w:r>
          </w:p>
        </w:tc>
        <w:tc>
          <w:tcPr>
            <w:tcW w:w="7461" w:type="dxa"/>
          </w:tcPr>
          <w:p w14:paraId="0F8E22C0" w14:textId="77777777" w:rsidR="00827CD0" w:rsidRPr="00AE0306" w:rsidRDefault="00827CD0" w:rsidP="0012105D">
            <w:pPr>
              <w:spacing w:after="120" w:line="260"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w:t>
            </w:r>
            <w:r w:rsidRPr="00AE0306">
              <w:rPr>
                <w:rFonts w:ascii="Times New Roman" w:eastAsia="Times New Roman" w:hAnsi="Times New Roman" w:cs="Times New Roman"/>
                <w:i/>
                <w:iCs/>
                <w:lang w:val="pt-BR"/>
              </w:rPr>
              <w:t>instrumento de oficialização de pedido</w:t>
            </w:r>
            <w:r w:rsidRPr="00AE0306">
              <w:rPr>
                <w:rFonts w:ascii="Times New Roman" w:eastAsia="Times New Roman" w:hAnsi="Times New Roman" w:cs="Times New Roman"/>
                <w:lang w:val="pt-BR"/>
              </w:rPr>
              <w:t>” está em conformidade com o modelo constante do Anexo I do Decreto nº 15.941/2022?</w:t>
            </w:r>
          </w:p>
        </w:tc>
        <w:tc>
          <w:tcPr>
            <w:tcW w:w="1418" w:type="dxa"/>
          </w:tcPr>
          <w:p w14:paraId="5AD7C7AF" w14:textId="77777777" w:rsidR="00827CD0" w:rsidRPr="00AE0306" w:rsidRDefault="00827CD0" w:rsidP="0012105D">
            <w:pPr>
              <w:spacing w:after="120" w:line="257" w:lineRule="exact"/>
              <w:ind w:left="188"/>
              <w:rPr>
                <w:rFonts w:ascii="Times New Roman" w:eastAsia="Times New Roman" w:hAnsi="Times New Roman" w:cs="Times New Roman"/>
                <w:lang w:val="pt-BR"/>
              </w:rPr>
            </w:pPr>
          </w:p>
        </w:tc>
        <w:tc>
          <w:tcPr>
            <w:tcW w:w="835" w:type="dxa"/>
          </w:tcPr>
          <w:p w14:paraId="23147DA9" w14:textId="77777777" w:rsidR="00827CD0" w:rsidRPr="00AE0306" w:rsidRDefault="00827CD0" w:rsidP="0012105D">
            <w:pPr>
              <w:spacing w:after="120" w:line="257" w:lineRule="exact"/>
              <w:ind w:left="341" w:right="328"/>
              <w:jc w:val="center"/>
              <w:rPr>
                <w:rFonts w:ascii="Times New Roman" w:eastAsia="Times New Roman" w:hAnsi="Times New Roman" w:cs="Times New Roman"/>
                <w:lang w:val="pt-BR"/>
              </w:rPr>
            </w:pPr>
          </w:p>
        </w:tc>
      </w:tr>
      <w:tr w:rsidR="00AE0306" w:rsidRPr="00AE0306" w14:paraId="27656102" w14:textId="77777777" w:rsidTr="0012105D">
        <w:trPr>
          <w:trHeight w:val="299"/>
        </w:trPr>
        <w:tc>
          <w:tcPr>
            <w:tcW w:w="760" w:type="dxa"/>
            <w:vAlign w:val="center"/>
          </w:tcPr>
          <w:p w14:paraId="0E4F6C83" w14:textId="77777777" w:rsidR="00827CD0" w:rsidRPr="00AE0306" w:rsidRDefault="00827CD0" w:rsidP="0012105D">
            <w:pPr>
              <w:spacing w:after="120" w:line="257"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3.</w:t>
            </w:r>
          </w:p>
        </w:tc>
        <w:tc>
          <w:tcPr>
            <w:tcW w:w="7461" w:type="dxa"/>
          </w:tcPr>
          <w:p w14:paraId="1802883A" w14:textId="77777777" w:rsidR="00827CD0" w:rsidRPr="00AE0306" w:rsidRDefault="00827CD0" w:rsidP="0012105D">
            <w:pPr>
              <w:spacing w:after="120" w:line="260"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w:t>
            </w:r>
            <w:r w:rsidRPr="00AE0306">
              <w:rPr>
                <w:rFonts w:ascii="Times New Roman" w:eastAsia="Times New Roman" w:hAnsi="Times New Roman" w:cs="Times New Roman"/>
                <w:i/>
                <w:iCs/>
                <w:lang w:val="pt-BR"/>
              </w:rPr>
              <w:t>instrumento de oficialização de pedido</w:t>
            </w:r>
            <w:r w:rsidRPr="00AE0306">
              <w:rPr>
                <w:rFonts w:ascii="Times New Roman" w:eastAsia="Times New Roman" w:hAnsi="Times New Roman" w:cs="Times New Roman"/>
                <w:lang w:val="pt-BR"/>
              </w:rPr>
              <w:t xml:space="preserve">” contém a justificativa da necessidade da </w:t>
            </w:r>
            <w:r w:rsidRPr="00AE0306">
              <w:rPr>
                <w:rFonts w:ascii="Times New Roman" w:eastAsia="Times New Roman" w:hAnsi="Times New Roman" w:cs="Times New Roman"/>
                <w:lang w:val="pt-BR"/>
              </w:rPr>
              <w:lastRenderedPageBreak/>
              <w:t>contratação e a indicação do agente da contratação da fase interna (art. 5º do Decreto nº 15.941/2022)?</w:t>
            </w:r>
          </w:p>
        </w:tc>
        <w:tc>
          <w:tcPr>
            <w:tcW w:w="1418" w:type="dxa"/>
          </w:tcPr>
          <w:p w14:paraId="3430DA1C" w14:textId="77777777" w:rsidR="00827CD0" w:rsidRPr="00AE0306" w:rsidRDefault="00827CD0" w:rsidP="0012105D">
            <w:pPr>
              <w:spacing w:after="120" w:line="257" w:lineRule="exact"/>
              <w:ind w:left="188"/>
              <w:rPr>
                <w:rFonts w:ascii="Times New Roman" w:eastAsia="Times New Roman" w:hAnsi="Times New Roman" w:cs="Times New Roman"/>
                <w:lang w:val="pt-BR"/>
              </w:rPr>
            </w:pPr>
          </w:p>
        </w:tc>
        <w:tc>
          <w:tcPr>
            <w:tcW w:w="835" w:type="dxa"/>
          </w:tcPr>
          <w:p w14:paraId="512C311F" w14:textId="77777777" w:rsidR="00827CD0" w:rsidRPr="00AE0306" w:rsidRDefault="00827CD0" w:rsidP="0012105D">
            <w:pPr>
              <w:spacing w:after="120" w:line="257" w:lineRule="exact"/>
              <w:ind w:left="341" w:right="328"/>
              <w:jc w:val="center"/>
              <w:rPr>
                <w:rFonts w:ascii="Times New Roman" w:eastAsia="Times New Roman" w:hAnsi="Times New Roman" w:cs="Times New Roman"/>
                <w:lang w:val="pt-BR"/>
              </w:rPr>
            </w:pPr>
          </w:p>
        </w:tc>
      </w:tr>
      <w:tr w:rsidR="00AE0306" w:rsidRPr="00AE0306" w14:paraId="75256BF8" w14:textId="77777777" w:rsidTr="0012105D">
        <w:trPr>
          <w:trHeight w:val="605"/>
        </w:trPr>
        <w:tc>
          <w:tcPr>
            <w:tcW w:w="760" w:type="dxa"/>
            <w:vAlign w:val="center"/>
          </w:tcPr>
          <w:p w14:paraId="77474F08" w14:textId="77777777" w:rsidR="00827CD0" w:rsidRPr="00AE0306" w:rsidRDefault="00827CD0" w:rsidP="0012105D">
            <w:pPr>
              <w:spacing w:after="120" w:line="260"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3.1</w:t>
            </w:r>
          </w:p>
        </w:tc>
        <w:tc>
          <w:tcPr>
            <w:tcW w:w="7461" w:type="dxa"/>
          </w:tcPr>
          <w:p w14:paraId="05AFE6C9" w14:textId="77777777" w:rsidR="00827CD0" w:rsidRPr="00AE0306" w:rsidRDefault="00827CD0" w:rsidP="0012105D">
            <w:pPr>
              <w:spacing w:after="120" w:line="260"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 agente de contratação da fase interna foi designado dentre os servidores efetivos ou empregados públicos dos quadros permanentes da Administração Pública do Poder Executivo Estadual? (art. 3º, </w:t>
            </w:r>
            <w:r w:rsidRPr="00AE0306">
              <w:rPr>
                <w:rFonts w:ascii="Times New Roman" w:eastAsia="Times New Roman" w:hAnsi="Times New Roman" w:cs="Times New Roman"/>
                <w:i/>
                <w:iCs/>
                <w:lang w:val="pt-BR"/>
              </w:rPr>
              <w:t>caput</w:t>
            </w:r>
            <w:r w:rsidRPr="00AE0306">
              <w:rPr>
                <w:rFonts w:ascii="Times New Roman" w:eastAsia="Times New Roman" w:hAnsi="Times New Roman" w:cs="Times New Roman"/>
                <w:lang w:val="pt-BR"/>
              </w:rPr>
              <w:t>, do Decreto nº 15.937/2022)?</w:t>
            </w:r>
          </w:p>
        </w:tc>
        <w:tc>
          <w:tcPr>
            <w:tcW w:w="1418" w:type="dxa"/>
          </w:tcPr>
          <w:p w14:paraId="483570A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5309DE0"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AD23037" w14:textId="77777777" w:rsidTr="0012105D">
        <w:trPr>
          <w:trHeight w:val="605"/>
        </w:trPr>
        <w:tc>
          <w:tcPr>
            <w:tcW w:w="760" w:type="dxa"/>
            <w:vAlign w:val="center"/>
          </w:tcPr>
          <w:p w14:paraId="37AC01E1" w14:textId="77777777" w:rsidR="00827CD0" w:rsidRPr="00AE0306" w:rsidRDefault="00827CD0" w:rsidP="0012105D">
            <w:pPr>
              <w:spacing w:after="120" w:line="260" w:lineRule="exact"/>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4.</w:t>
            </w:r>
          </w:p>
        </w:tc>
        <w:tc>
          <w:tcPr>
            <w:tcW w:w="7461" w:type="dxa"/>
          </w:tcPr>
          <w:p w14:paraId="5CD0E715" w14:textId="77777777" w:rsidR="00827CD0" w:rsidRPr="00AE0306" w:rsidRDefault="00827CD0" w:rsidP="0012105D">
            <w:pPr>
              <w:spacing w:after="120" w:line="260"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agente de contratação da fase interna designou a equipe de planejamento da contratação?</w:t>
            </w:r>
          </w:p>
        </w:tc>
        <w:tc>
          <w:tcPr>
            <w:tcW w:w="1418" w:type="dxa"/>
          </w:tcPr>
          <w:p w14:paraId="553E025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6EDC603"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FE7EBB8" w14:textId="77777777" w:rsidTr="0012105D">
        <w:trPr>
          <w:trHeight w:val="299"/>
        </w:trPr>
        <w:tc>
          <w:tcPr>
            <w:tcW w:w="760" w:type="dxa"/>
            <w:shd w:val="clear" w:color="auto" w:fill="808080"/>
            <w:vAlign w:val="center"/>
          </w:tcPr>
          <w:p w14:paraId="5C9080A0"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2EA36161"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ESTUDO TÉCNICO PRELIMINAR (ETP)</w:t>
            </w:r>
          </w:p>
        </w:tc>
        <w:tc>
          <w:tcPr>
            <w:tcW w:w="1418" w:type="dxa"/>
            <w:shd w:val="clear" w:color="auto" w:fill="808080"/>
            <w:vAlign w:val="center"/>
          </w:tcPr>
          <w:p w14:paraId="4CDB8541"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1C93DF3D"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3B07490E" w14:textId="77777777" w:rsidTr="0012105D">
        <w:trPr>
          <w:trHeight w:val="606"/>
        </w:trPr>
        <w:tc>
          <w:tcPr>
            <w:tcW w:w="760" w:type="dxa"/>
            <w:vAlign w:val="center"/>
          </w:tcPr>
          <w:p w14:paraId="2F4AD367"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649CDD13" w14:textId="77777777" w:rsidR="00827CD0" w:rsidRPr="00AE0306" w:rsidRDefault="00827CD0" w:rsidP="0012105D">
            <w:pPr>
              <w:spacing w:after="120"/>
              <w:ind w:left="157"/>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processo de contratação possui Estudo Técnico Preliminar (</w:t>
            </w:r>
            <w:r w:rsidRPr="00AE0306">
              <w:rPr>
                <w:rFonts w:ascii="Times New Roman" w:eastAsia="Times New Roman" w:hAnsi="Times New Roman" w:cs="Times New Roman"/>
                <w:szCs w:val="24"/>
                <w:lang w:val="pt-BR"/>
              </w:rPr>
              <w:t>§ 1º do art. 18 da Lei Federal nº 14.133, de 2021</w:t>
            </w:r>
            <w:r w:rsidRPr="00AE0306">
              <w:rPr>
                <w:rFonts w:ascii="Times New Roman" w:eastAsia="Times New Roman" w:hAnsi="Times New Roman" w:cs="Times New Roman"/>
                <w:lang w:val="pt-BR"/>
              </w:rPr>
              <w:t>)?</w:t>
            </w:r>
          </w:p>
        </w:tc>
        <w:tc>
          <w:tcPr>
            <w:tcW w:w="1418" w:type="dxa"/>
          </w:tcPr>
          <w:p w14:paraId="70DA06C1"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774206A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688DBF7" w14:textId="77777777" w:rsidTr="0012105D">
        <w:trPr>
          <w:trHeight w:val="606"/>
        </w:trPr>
        <w:tc>
          <w:tcPr>
            <w:tcW w:w="760" w:type="dxa"/>
            <w:vAlign w:val="center"/>
          </w:tcPr>
          <w:p w14:paraId="218A8411"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2. </w:t>
            </w:r>
          </w:p>
        </w:tc>
        <w:tc>
          <w:tcPr>
            <w:tcW w:w="7461" w:type="dxa"/>
          </w:tcPr>
          <w:p w14:paraId="59F93BD1" w14:textId="77777777" w:rsidR="00827CD0" w:rsidRPr="00AE0306" w:rsidRDefault="00827CD0" w:rsidP="0012105D">
            <w:pPr>
              <w:spacing w:after="120"/>
              <w:ind w:left="157"/>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deixou de ser elaborado em razão de uma das hipóteses de dispensa do inciso III do §6º do art. 7º ou de uma das hipóteses que o torna facultativo do §7º do art. 7º, ambos do Decreto Estadual nº 15.941/2022?</w:t>
            </w:r>
          </w:p>
        </w:tc>
        <w:tc>
          <w:tcPr>
            <w:tcW w:w="1418" w:type="dxa"/>
          </w:tcPr>
          <w:p w14:paraId="4978B13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6347C1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4F60BE1" w14:textId="77777777" w:rsidTr="0012105D">
        <w:trPr>
          <w:trHeight w:val="606"/>
        </w:trPr>
        <w:tc>
          <w:tcPr>
            <w:tcW w:w="760" w:type="dxa"/>
            <w:vAlign w:val="center"/>
          </w:tcPr>
          <w:p w14:paraId="1B6B5E43"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2.1</w:t>
            </w:r>
          </w:p>
        </w:tc>
        <w:tc>
          <w:tcPr>
            <w:tcW w:w="7461" w:type="dxa"/>
          </w:tcPr>
          <w:p w14:paraId="010BE76B"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Na hipótese de não elaboração do ETP por uma das hipóteses facultativas do §7º do art. 7º do Decreto Estadual nº 15.941/2022, a equipe de planejamento apresentou as justificativas aptas a comprovarem uma daquelas situações, bem como demonstrou a inexistência de nova(s) solução(ões) no mercado? </w:t>
            </w:r>
          </w:p>
        </w:tc>
        <w:tc>
          <w:tcPr>
            <w:tcW w:w="1418" w:type="dxa"/>
          </w:tcPr>
          <w:p w14:paraId="40B99464"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A7E93BA"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638BF9B" w14:textId="77777777" w:rsidTr="0012105D">
        <w:trPr>
          <w:trHeight w:val="606"/>
        </w:trPr>
        <w:tc>
          <w:tcPr>
            <w:tcW w:w="760" w:type="dxa"/>
            <w:vAlign w:val="center"/>
          </w:tcPr>
          <w:p w14:paraId="7E329140"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2.2.</w:t>
            </w:r>
          </w:p>
        </w:tc>
        <w:tc>
          <w:tcPr>
            <w:tcW w:w="7461" w:type="dxa"/>
          </w:tcPr>
          <w:p w14:paraId="74FB2E45"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Quando não elaborado o ETP, os seus elementos obrigatórios (descritos no § 2º do art. 18 da Lei Federal nº 14.133, de 2021) constam no Termo de Referência?</w:t>
            </w:r>
          </w:p>
        </w:tc>
        <w:tc>
          <w:tcPr>
            <w:tcW w:w="1418" w:type="dxa"/>
          </w:tcPr>
          <w:p w14:paraId="632B0E2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5CB604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74E44A2A" w14:textId="77777777" w:rsidTr="0012105D">
        <w:trPr>
          <w:trHeight w:val="606"/>
        </w:trPr>
        <w:tc>
          <w:tcPr>
            <w:tcW w:w="760" w:type="dxa"/>
            <w:vAlign w:val="center"/>
          </w:tcPr>
          <w:p w14:paraId="2A1B9246"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3. </w:t>
            </w:r>
          </w:p>
        </w:tc>
        <w:tc>
          <w:tcPr>
            <w:tcW w:w="7461" w:type="dxa"/>
          </w:tcPr>
          <w:p w14:paraId="7EC74FA8"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foi elaborado antes do Termo de Referência? (art. 6º, XX, da Lei nº 14.133/2021)</w:t>
            </w:r>
          </w:p>
        </w:tc>
        <w:tc>
          <w:tcPr>
            <w:tcW w:w="1418" w:type="dxa"/>
          </w:tcPr>
          <w:p w14:paraId="3F47E421"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407A8D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CF7FAC5" w14:textId="77777777" w:rsidTr="0012105D">
        <w:trPr>
          <w:trHeight w:val="2227"/>
        </w:trPr>
        <w:tc>
          <w:tcPr>
            <w:tcW w:w="760" w:type="dxa"/>
            <w:vAlign w:val="center"/>
          </w:tcPr>
          <w:p w14:paraId="74FE3134"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4.</w:t>
            </w:r>
          </w:p>
        </w:tc>
        <w:tc>
          <w:tcPr>
            <w:tcW w:w="7461" w:type="dxa"/>
          </w:tcPr>
          <w:p w14:paraId="56B29326"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contém os elementos obrigatórios descritos no § 2º do art. 18 da Lei Federal nº 14.133, de 2021?</w:t>
            </w:r>
          </w:p>
          <w:p w14:paraId="1BC3EB01"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p>
          <w:p w14:paraId="461B42CE" w14:textId="77777777" w:rsidR="00827CD0" w:rsidRPr="00AE0306" w:rsidRDefault="00827CD0" w:rsidP="0012105D">
            <w:pPr>
              <w:spacing w:after="120" w:line="263" w:lineRule="exact"/>
              <w:ind w:left="119"/>
              <w:jc w:val="both"/>
              <w:rPr>
                <w:rFonts w:ascii="Times New Roman" w:eastAsia="Times New Roman" w:hAnsi="Times New Roman" w:cs="Times New Roman"/>
                <w:i/>
                <w:lang w:val="pt-BR"/>
              </w:rPr>
            </w:pPr>
            <w:r w:rsidRPr="00AE0306">
              <w:rPr>
                <w:rFonts w:ascii="Times New Roman" w:eastAsia="Times New Roman" w:hAnsi="Times New Roman" w:cs="Times New Roman"/>
                <w:i/>
                <w:lang w:val="pt-BR"/>
              </w:rPr>
              <w:t>OBS: O ETP deve conter, obrigatoriamente: a descrição da necessidade da contratação (inc. I); (b) a estimativa das quantidades para a contratação (inc. IV); (c) a estimativa do valor da contratação (inc. VI); (d) a justificativa para o parcelamento ou não da solução (inc. VIII); e) o posicionamento conclusivo sobre a viabilidade da contratação (inc. XIII).</w:t>
            </w:r>
          </w:p>
        </w:tc>
        <w:tc>
          <w:tcPr>
            <w:tcW w:w="1418" w:type="dxa"/>
          </w:tcPr>
          <w:p w14:paraId="1EDEB094"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028EC2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64498FD" w14:textId="77777777" w:rsidTr="0012105D">
        <w:trPr>
          <w:trHeight w:val="683"/>
        </w:trPr>
        <w:tc>
          <w:tcPr>
            <w:tcW w:w="760" w:type="dxa"/>
            <w:vAlign w:val="center"/>
          </w:tcPr>
          <w:p w14:paraId="705C1B4D"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4.1</w:t>
            </w:r>
          </w:p>
        </w:tc>
        <w:tc>
          <w:tcPr>
            <w:tcW w:w="7461" w:type="dxa"/>
          </w:tcPr>
          <w:p w14:paraId="18903A9B"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Os elementos não obrigatórios do ETP e que não tenham sido contemplados na elaboração do documento analisado tiveram a sua ausência devidamente justificada pela equipe de planejamento?</w:t>
            </w:r>
          </w:p>
          <w:p w14:paraId="702519DB"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p>
          <w:p w14:paraId="5A5DE6AF" w14:textId="77777777" w:rsidR="00827CD0" w:rsidRPr="00AE0306" w:rsidRDefault="00827CD0" w:rsidP="0012105D">
            <w:pPr>
              <w:spacing w:after="120" w:line="263"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OBS: </w:t>
            </w:r>
            <w:r w:rsidRPr="00AE0306">
              <w:rPr>
                <w:rFonts w:ascii="Times New Roman" w:eastAsia="Times New Roman" w:hAnsi="Times New Roman" w:cs="Times New Roman"/>
                <w:i/>
                <w:iCs/>
                <w:lang w:val="pt-BR"/>
              </w:rPr>
              <w:t xml:space="preserve">Os elementos não obrigatórios do ETP são os seguintes: a) demonstração da previsão da contratação no plano de contratações anual (inc. II); b) requisitos da contratação (inc. III); c) levantamento de mercado (inc. V); d) descrição da solução como um todo (inc. VII); e) demonstrativo dos resultados pretendidos em termos de economicidade e de melhor aproveitamento dos recursos humanos, materiais e financeiros disponíveis (inc. IX); f) providências a serem adotadas pela Administração previamente à celebração do contrato (inc. X); g) contratações correlatas e/ou interdependentes (inc. XI); h) descrição de possíveis impactos </w:t>
            </w:r>
            <w:r w:rsidRPr="00AE0306">
              <w:rPr>
                <w:rFonts w:ascii="Times New Roman" w:eastAsia="Times New Roman" w:hAnsi="Times New Roman" w:cs="Times New Roman"/>
                <w:i/>
                <w:iCs/>
                <w:lang w:val="pt-BR"/>
              </w:rPr>
              <w:lastRenderedPageBreak/>
              <w:t>ambientais e respectivas medidas mitigadoras (inc. XII).</w:t>
            </w:r>
          </w:p>
        </w:tc>
        <w:tc>
          <w:tcPr>
            <w:tcW w:w="1418" w:type="dxa"/>
          </w:tcPr>
          <w:p w14:paraId="5F67B8C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92908D5"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25AE11C" w14:textId="77777777" w:rsidTr="0012105D">
        <w:trPr>
          <w:trHeight w:val="302"/>
        </w:trPr>
        <w:tc>
          <w:tcPr>
            <w:tcW w:w="760" w:type="dxa"/>
            <w:vAlign w:val="center"/>
          </w:tcPr>
          <w:p w14:paraId="30ADF1EF" w14:textId="77777777" w:rsidR="00827CD0" w:rsidRPr="00AE0306" w:rsidRDefault="00827CD0" w:rsidP="0012105D">
            <w:pPr>
              <w:spacing w:after="120" w:line="257" w:lineRule="exact"/>
              <w:ind w:left="119"/>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5.</w:t>
            </w:r>
          </w:p>
        </w:tc>
        <w:tc>
          <w:tcPr>
            <w:tcW w:w="7461" w:type="dxa"/>
          </w:tcPr>
          <w:p w14:paraId="1C27375E" w14:textId="77777777" w:rsidR="00827CD0" w:rsidRPr="00AE0306" w:rsidRDefault="00827CD0" w:rsidP="0012105D">
            <w:pPr>
              <w:spacing w:after="120" w:line="257"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equipe de planejamento indicou a necessidade da contratação?</w:t>
            </w:r>
          </w:p>
        </w:tc>
        <w:tc>
          <w:tcPr>
            <w:tcW w:w="1418" w:type="dxa"/>
          </w:tcPr>
          <w:p w14:paraId="2783C6F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5741BCB"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8529F26" w14:textId="77777777" w:rsidTr="0012105D">
        <w:trPr>
          <w:trHeight w:val="302"/>
        </w:trPr>
        <w:tc>
          <w:tcPr>
            <w:tcW w:w="760" w:type="dxa"/>
            <w:vAlign w:val="center"/>
          </w:tcPr>
          <w:p w14:paraId="037AC904"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6. </w:t>
            </w:r>
          </w:p>
        </w:tc>
        <w:tc>
          <w:tcPr>
            <w:tcW w:w="7461" w:type="dxa"/>
          </w:tcPr>
          <w:p w14:paraId="187E49C4"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apresentou as soluções existentes no mercado e promoveu uma efetiva análise comparativa entre elas?</w:t>
            </w:r>
          </w:p>
        </w:tc>
        <w:tc>
          <w:tcPr>
            <w:tcW w:w="1418" w:type="dxa"/>
          </w:tcPr>
          <w:p w14:paraId="3FE0973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61680A9"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6B0A986" w14:textId="77777777" w:rsidTr="0012105D">
        <w:trPr>
          <w:trHeight w:val="302"/>
        </w:trPr>
        <w:tc>
          <w:tcPr>
            <w:tcW w:w="760" w:type="dxa"/>
            <w:vAlign w:val="center"/>
          </w:tcPr>
          <w:p w14:paraId="24B040C9"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6.1</w:t>
            </w:r>
          </w:p>
        </w:tc>
        <w:tc>
          <w:tcPr>
            <w:tcW w:w="7461" w:type="dxa"/>
          </w:tcPr>
          <w:p w14:paraId="18B2198B"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análise comparativa entre as soluções foi orientada por algum dos critérios elencados pelo §1º do art. 7º do Decreto n.º 15.941/2022?</w:t>
            </w:r>
          </w:p>
          <w:p w14:paraId="038A97A8"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p>
          <w:p w14:paraId="76E8B74F" w14:textId="77777777" w:rsidR="00827CD0" w:rsidRPr="00AE0306" w:rsidRDefault="00827CD0" w:rsidP="0012105D">
            <w:pPr>
              <w:spacing w:after="120" w:line="259" w:lineRule="exact"/>
              <w:ind w:left="119"/>
              <w:jc w:val="both"/>
              <w:rPr>
                <w:rFonts w:ascii="Times New Roman" w:eastAsia="Times New Roman" w:hAnsi="Times New Roman" w:cs="Times New Roman"/>
                <w:i/>
                <w:iCs/>
                <w:lang w:val="pt-BR"/>
              </w:rPr>
            </w:pPr>
            <w:r w:rsidRPr="00AE0306">
              <w:rPr>
                <w:rFonts w:ascii="Times New Roman" w:eastAsia="Times New Roman" w:hAnsi="Times New Roman" w:cs="Times New Roman"/>
                <w:i/>
                <w:iCs/>
                <w:lang w:val="pt-BR"/>
              </w:rPr>
              <w:t>OBS: I - vantajosidade econômica, preferencialmente pela comparação do custo total das soluções propostas e da solução atual, quando for o caso; II - ganhos de eficiência administrativa, pela economia de tempo, de recursos materiais e de pessoal; III - continuidade sustentável do modelo de fornecimento do bem ou da prestação de serviço para a Administração Pública Estadual; IV - sustentabilidade social e ambiental, por meio da consideração de objetivos secundários da política de compras públicas; V - incorporação de tecnologias que permitam ganhos de eficiência, exatidão, segurança, transparência, impessoalidade, padronização ou controle; VI - possibilidade de compra ou de locação de bens, a serem avaliados os custos e os benefícios de cada opção para escolha da alternativa mais vantajosa; VII - opções menos onerosas à Administração Pública Estadual, tais como chamamentos públicos de doação e permutas.</w:t>
            </w:r>
          </w:p>
        </w:tc>
        <w:tc>
          <w:tcPr>
            <w:tcW w:w="1418" w:type="dxa"/>
          </w:tcPr>
          <w:p w14:paraId="58CD4324"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595963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4A7A850" w14:textId="77777777" w:rsidTr="0012105D">
        <w:trPr>
          <w:trHeight w:val="302"/>
        </w:trPr>
        <w:tc>
          <w:tcPr>
            <w:tcW w:w="760" w:type="dxa"/>
            <w:vAlign w:val="center"/>
          </w:tcPr>
          <w:p w14:paraId="226468F3"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6.2</w:t>
            </w:r>
          </w:p>
        </w:tc>
        <w:tc>
          <w:tcPr>
            <w:tcW w:w="7461" w:type="dxa"/>
          </w:tcPr>
          <w:p w14:paraId="011B0201"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Quando houver a possibilidade de compra ou de locação de bens, o ETP considerou os custos e os benefícios de cada opção, com indicação da alternativa mais vantajosa? (</w:t>
            </w:r>
            <w:r w:rsidRPr="00AE0306">
              <w:rPr>
                <w:rFonts w:ascii="Times New Roman" w:hAnsi="Times New Roman" w:cs="Times New Roman"/>
                <w:sz w:val="24"/>
                <w:szCs w:val="24"/>
                <w:lang w:val="pt-BR"/>
              </w:rPr>
              <w:t>art. 44 da Lei nº 14.133/2021)</w:t>
            </w:r>
          </w:p>
        </w:tc>
        <w:tc>
          <w:tcPr>
            <w:tcW w:w="1418" w:type="dxa"/>
          </w:tcPr>
          <w:p w14:paraId="04289E09"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5435F3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C674B1B" w14:textId="77777777" w:rsidTr="0012105D">
        <w:trPr>
          <w:trHeight w:val="302"/>
        </w:trPr>
        <w:tc>
          <w:tcPr>
            <w:tcW w:w="760" w:type="dxa"/>
            <w:vAlign w:val="center"/>
          </w:tcPr>
          <w:p w14:paraId="4EF0C084"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6.3</w:t>
            </w:r>
          </w:p>
        </w:tc>
        <w:tc>
          <w:tcPr>
            <w:tcW w:w="7461" w:type="dxa"/>
          </w:tcPr>
          <w:p w14:paraId="05167A09"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Ao final do levantamento, foi demonstrado que a solução escolhida é a que mais se aproxima dos requisitos definidos e que mais promove a competição, levando-se em conta os aspectos de economicidade, eficácia, eficiência e padronização, bem como as práticas de mercado?</w:t>
            </w:r>
          </w:p>
        </w:tc>
        <w:tc>
          <w:tcPr>
            <w:tcW w:w="1418" w:type="dxa"/>
          </w:tcPr>
          <w:p w14:paraId="4A54609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20B73D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720C727" w14:textId="77777777" w:rsidTr="0012105D">
        <w:trPr>
          <w:trHeight w:val="302"/>
        </w:trPr>
        <w:tc>
          <w:tcPr>
            <w:tcW w:w="760" w:type="dxa"/>
            <w:vAlign w:val="center"/>
          </w:tcPr>
          <w:p w14:paraId="11B92267"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7. </w:t>
            </w:r>
          </w:p>
        </w:tc>
        <w:tc>
          <w:tcPr>
            <w:tcW w:w="7461" w:type="dxa"/>
          </w:tcPr>
          <w:p w14:paraId="066989DC"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Em relação aos quantitativos dos bens que se pretende adquirir, o ETP indica a memória de cálculo e a metodologia utilizada para se chegar na estimativa?</w:t>
            </w:r>
          </w:p>
        </w:tc>
        <w:tc>
          <w:tcPr>
            <w:tcW w:w="1418" w:type="dxa"/>
          </w:tcPr>
          <w:p w14:paraId="19DA787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D4D3CC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BC8AAFD" w14:textId="77777777" w:rsidTr="0012105D">
        <w:trPr>
          <w:trHeight w:val="302"/>
        </w:trPr>
        <w:tc>
          <w:tcPr>
            <w:tcW w:w="760" w:type="dxa"/>
            <w:vAlign w:val="center"/>
          </w:tcPr>
          <w:p w14:paraId="4F84F391"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7.1</w:t>
            </w:r>
          </w:p>
        </w:tc>
        <w:tc>
          <w:tcPr>
            <w:tcW w:w="7461" w:type="dxa"/>
          </w:tcPr>
          <w:p w14:paraId="3A80D7B2"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Foram juntados os documentos que corroboram as estimativas fixadas no ETP?</w:t>
            </w:r>
          </w:p>
        </w:tc>
        <w:tc>
          <w:tcPr>
            <w:tcW w:w="1418" w:type="dxa"/>
          </w:tcPr>
          <w:p w14:paraId="7BDF8F38"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A86431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3C15A74" w14:textId="77777777" w:rsidTr="0012105D">
        <w:trPr>
          <w:trHeight w:val="302"/>
        </w:trPr>
        <w:tc>
          <w:tcPr>
            <w:tcW w:w="760" w:type="dxa"/>
            <w:vAlign w:val="center"/>
          </w:tcPr>
          <w:p w14:paraId="7C547962"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w:t>
            </w:r>
          </w:p>
        </w:tc>
        <w:tc>
          <w:tcPr>
            <w:tcW w:w="7461" w:type="dxa"/>
          </w:tcPr>
          <w:p w14:paraId="4FC19DC3"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 ETP contém justificativas para o parcelamento ou não da contratação? (inciso VIII, §1º, do art.18 e </w:t>
            </w:r>
            <w:r w:rsidRPr="00AE0306">
              <w:rPr>
                <w:rFonts w:ascii="Times New Roman" w:hAnsi="Times New Roman" w:cs="Times New Roman"/>
                <w:sz w:val="24"/>
                <w:szCs w:val="24"/>
                <w:lang w:val="pt-BR"/>
              </w:rPr>
              <w:t>§§2º e 3º do art. 40</w:t>
            </w:r>
            <w:r w:rsidRPr="00AE0306">
              <w:rPr>
                <w:rFonts w:ascii="Times New Roman" w:eastAsia="Times New Roman" w:hAnsi="Times New Roman" w:cs="Times New Roman"/>
                <w:lang w:val="pt-BR"/>
              </w:rPr>
              <w:t>)</w:t>
            </w:r>
          </w:p>
        </w:tc>
        <w:tc>
          <w:tcPr>
            <w:tcW w:w="1418" w:type="dxa"/>
          </w:tcPr>
          <w:p w14:paraId="51CE10BD"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96506C3"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DD64AF8" w14:textId="77777777" w:rsidTr="0012105D">
        <w:trPr>
          <w:trHeight w:val="302"/>
        </w:trPr>
        <w:tc>
          <w:tcPr>
            <w:tcW w:w="760" w:type="dxa"/>
            <w:vAlign w:val="center"/>
          </w:tcPr>
          <w:p w14:paraId="0BB7F866"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8.1</w:t>
            </w:r>
          </w:p>
        </w:tc>
        <w:tc>
          <w:tcPr>
            <w:tcW w:w="7461" w:type="dxa"/>
          </w:tcPr>
          <w:p w14:paraId="2BC115E1"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opção pelo parcelamento da contratação considerou uma das circunstâncias descritas no §2º do art. 40 da Lei nº 14.133/2021?</w:t>
            </w:r>
          </w:p>
          <w:p w14:paraId="297134C0"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p>
          <w:p w14:paraId="770185AF"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OBS: </w:t>
            </w:r>
            <w:r w:rsidRPr="00AE0306">
              <w:rPr>
                <w:rFonts w:ascii="Times New Roman" w:eastAsia="Times New Roman" w:hAnsi="Times New Roman" w:cs="Times New Roman"/>
                <w:i/>
                <w:iCs/>
                <w:lang w:val="pt-BR"/>
              </w:rPr>
              <w:t>§ 2º Na aplicação do princípio do parcelamento, referente às compras, deverão ser considerados: I - a viabilidade da divisão do objeto em lotes; II - o aproveitamento das peculiaridades do mercado local, com vistas à economicidade, sempre que possível, desde que atendidos os parâmetros de qualidade; e III - o dever de buscar a ampliação da competição e de evitar a concentração de mercado.</w:t>
            </w:r>
          </w:p>
        </w:tc>
        <w:tc>
          <w:tcPr>
            <w:tcW w:w="1418" w:type="dxa"/>
          </w:tcPr>
          <w:p w14:paraId="107285E9"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1487EE86"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92A208A" w14:textId="77777777" w:rsidTr="0012105D">
        <w:trPr>
          <w:trHeight w:val="302"/>
        </w:trPr>
        <w:tc>
          <w:tcPr>
            <w:tcW w:w="760" w:type="dxa"/>
            <w:vAlign w:val="center"/>
          </w:tcPr>
          <w:p w14:paraId="6106E016"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8.2</w:t>
            </w:r>
          </w:p>
        </w:tc>
        <w:tc>
          <w:tcPr>
            <w:tcW w:w="7461" w:type="dxa"/>
          </w:tcPr>
          <w:p w14:paraId="5FCF9D95"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opção pelo NÃO parcelamento da contratação foi fundamentada em uma das hipóteses do §3º do art. 40 da Lei nº 14.133/2021?</w:t>
            </w:r>
          </w:p>
          <w:p w14:paraId="3ADD450E"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p>
          <w:p w14:paraId="55AF0174"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OBS: </w:t>
            </w:r>
            <w:r w:rsidRPr="00AE0306">
              <w:rPr>
                <w:rFonts w:ascii="Times New Roman" w:eastAsia="Times New Roman" w:hAnsi="Times New Roman" w:cs="Times New Roman"/>
                <w:i/>
                <w:iCs/>
                <w:lang w:val="pt-BR"/>
              </w:rPr>
              <w:t>§ 3º O parcelamento não será adotado quando: I - a economia de escala, a redução de custos de gestão de contratos ou a maior vantagem na contratação recomendar a compra do item do mesmo fornecedor; II - o objeto a ser contratado configurar sistema único e integrado e houver a possibilidade de risco ao conjunto do objeto pretendido; III - o processo de padronização ou de escolha de marca levar a fornecedor exclusivo.</w:t>
            </w:r>
          </w:p>
        </w:tc>
        <w:tc>
          <w:tcPr>
            <w:tcW w:w="1418" w:type="dxa"/>
          </w:tcPr>
          <w:p w14:paraId="35D7910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9E3F49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8D79525" w14:textId="77777777" w:rsidTr="0012105D">
        <w:trPr>
          <w:trHeight w:val="302"/>
        </w:trPr>
        <w:tc>
          <w:tcPr>
            <w:tcW w:w="760" w:type="dxa"/>
            <w:vAlign w:val="center"/>
          </w:tcPr>
          <w:p w14:paraId="502F1B02"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8.3</w:t>
            </w:r>
          </w:p>
        </w:tc>
        <w:tc>
          <w:tcPr>
            <w:tcW w:w="7461" w:type="dxa"/>
          </w:tcPr>
          <w:p w14:paraId="3A2C0381"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No caso de a contratação vedar a participação de empresas reunidas em consórcio, foram apresentadas as justificativas que motivaram essa decisão?</w:t>
            </w:r>
          </w:p>
        </w:tc>
        <w:tc>
          <w:tcPr>
            <w:tcW w:w="1418" w:type="dxa"/>
          </w:tcPr>
          <w:p w14:paraId="458F354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1FC5863"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CCA8303" w14:textId="77777777" w:rsidTr="0012105D">
        <w:trPr>
          <w:trHeight w:val="302"/>
        </w:trPr>
        <w:tc>
          <w:tcPr>
            <w:tcW w:w="760" w:type="dxa"/>
            <w:vAlign w:val="center"/>
          </w:tcPr>
          <w:p w14:paraId="31819BB6"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8.4</w:t>
            </w:r>
          </w:p>
        </w:tc>
        <w:tc>
          <w:tcPr>
            <w:tcW w:w="7461" w:type="dxa"/>
          </w:tcPr>
          <w:p w14:paraId="543F64D7"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No caso de a contratação ter permitida a subcontratação parcial do objeto, foram apresentadas as justificativas que motivaram essa decisão e fixados os limites e parcelas do objeto que poderão ser subcontratadas?</w:t>
            </w:r>
          </w:p>
        </w:tc>
        <w:tc>
          <w:tcPr>
            <w:tcW w:w="1418" w:type="dxa"/>
          </w:tcPr>
          <w:p w14:paraId="1F0C702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B36B500"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4BE15CC" w14:textId="77777777" w:rsidTr="0012105D">
        <w:trPr>
          <w:trHeight w:val="302"/>
        </w:trPr>
        <w:tc>
          <w:tcPr>
            <w:tcW w:w="760" w:type="dxa"/>
            <w:vAlign w:val="center"/>
          </w:tcPr>
          <w:p w14:paraId="4010E4E7"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9.</w:t>
            </w:r>
          </w:p>
        </w:tc>
        <w:tc>
          <w:tcPr>
            <w:tcW w:w="7461" w:type="dxa"/>
          </w:tcPr>
          <w:p w14:paraId="632A5173"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demonstrou a previsão da contratação no plano de contratações anual - PCA? (</w:t>
            </w:r>
            <w:r w:rsidRPr="00AE0306">
              <w:rPr>
                <w:rFonts w:ascii="Times New Roman" w:hAnsi="Times New Roman" w:cs="Times New Roman"/>
                <w:sz w:val="24"/>
                <w:szCs w:val="24"/>
                <w:lang w:val="pt-BR"/>
              </w:rPr>
              <w:t>art. 18 da Lei nº 14.133, de 2021)</w:t>
            </w:r>
          </w:p>
        </w:tc>
        <w:tc>
          <w:tcPr>
            <w:tcW w:w="1418" w:type="dxa"/>
          </w:tcPr>
          <w:p w14:paraId="69839951"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789DB1E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0B9931F1" w14:textId="77777777" w:rsidTr="0012105D">
        <w:trPr>
          <w:trHeight w:val="302"/>
        </w:trPr>
        <w:tc>
          <w:tcPr>
            <w:tcW w:w="760" w:type="dxa"/>
            <w:vAlign w:val="center"/>
          </w:tcPr>
          <w:p w14:paraId="1B572620"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10. </w:t>
            </w:r>
          </w:p>
        </w:tc>
        <w:tc>
          <w:tcPr>
            <w:tcW w:w="7461" w:type="dxa"/>
          </w:tcPr>
          <w:p w14:paraId="795E6C7E"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ETP foi assinado, rubricado em todas as suas folhas e datado pela equipe de planejamento da contratação? (13 do Decreto Estadual n.º 15.941/2022)</w:t>
            </w:r>
          </w:p>
        </w:tc>
        <w:tc>
          <w:tcPr>
            <w:tcW w:w="1418" w:type="dxa"/>
          </w:tcPr>
          <w:p w14:paraId="367519E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570988D"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294EF18" w14:textId="77777777" w:rsidTr="0012105D">
        <w:trPr>
          <w:trHeight w:val="299"/>
        </w:trPr>
        <w:tc>
          <w:tcPr>
            <w:tcW w:w="760" w:type="dxa"/>
            <w:shd w:val="clear" w:color="auto" w:fill="808080"/>
            <w:vAlign w:val="center"/>
          </w:tcPr>
          <w:p w14:paraId="0F1DA06D"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7EA04013"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TERMO DE REFERÊNCIA</w:t>
            </w:r>
          </w:p>
        </w:tc>
        <w:tc>
          <w:tcPr>
            <w:tcW w:w="1418" w:type="dxa"/>
            <w:shd w:val="clear" w:color="auto" w:fill="808080"/>
            <w:vAlign w:val="center"/>
          </w:tcPr>
          <w:p w14:paraId="64C707DF"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4285D04D"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7A83F575" w14:textId="77777777" w:rsidTr="0012105D">
        <w:trPr>
          <w:trHeight w:val="302"/>
        </w:trPr>
        <w:tc>
          <w:tcPr>
            <w:tcW w:w="760" w:type="dxa"/>
            <w:vAlign w:val="center"/>
          </w:tcPr>
          <w:p w14:paraId="46A52C62"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49A47C13"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Foi utilizada a versão mais atualizada da minuta padrão de Termos de Referência para compras de bens comuns, aprovada pela PGE/MS?</w:t>
            </w:r>
          </w:p>
        </w:tc>
        <w:tc>
          <w:tcPr>
            <w:tcW w:w="1418" w:type="dxa"/>
          </w:tcPr>
          <w:p w14:paraId="4638C1E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A730B4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39F742B" w14:textId="77777777" w:rsidTr="0012105D">
        <w:trPr>
          <w:trHeight w:val="302"/>
        </w:trPr>
        <w:tc>
          <w:tcPr>
            <w:tcW w:w="760" w:type="dxa"/>
            <w:vAlign w:val="center"/>
          </w:tcPr>
          <w:p w14:paraId="336C8DD4"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2. </w:t>
            </w:r>
          </w:p>
        </w:tc>
        <w:tc>
          <w:tcPr>
            <w:tcW w:w="7461" w:type="dxa"/>
          </w:tcPr>
          <w:p w14:paraId="6689CF7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nos autos a “</w:t>
            </w:r>
            <w:r w:rsidRPr="00AE0306">
              <w:rPr>
                <w:rFonts w:ascii="Times New Roman" w:eastAsia="Times New Roman" w:hAnsi="Times New Roman" w:cs="Times New Roman"/>
                <w:i/>
                <w:iCs/>
                <w:lang w:val="pt-BR"/>
              </w:rPr>
              <w:t>Certidão de Atendimento da Minuta Padronizada</w:t>
            </w:r>
            <w:r w:rsidRPr="00AE0306">
              <w:rPr>
                <w:rFonts w:ascii="Times New Roman" w:eastAsia="Times New Roman" w:hAnsi="Times New Roman" w:cs="Times New Roman"/>
                <w:lang w:val="pt-BR"/>
              </w:rPr>
              <w:t>” que atesta que o conteúdo do Termo de Referência seguiu a versão mais atualizada da minuta-padrão aprovada pela PGE/MS?</w:t>
            </w:r>
          </w:p>
        </w:tc>
        <w:tc>
          <w:tcPr>
            <w:tcW w:w="1418" w:type="dxa"/>
          </w:tcPr>
          <w:p w14:paraId="4FE8CCB7"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102631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05AC3CD" w14:textId="77777777" w:rsidTr="0012105D">
        <w:trPr>
          <w:trHeight w:val="302"/>
        </w:trPr>
        <w:tc>
          <w:tcPr>
            <w:tcW w:w="760" w:type="dxa"/>
            <w:vAlign w:val="center"/>
          </w:tcPr>
          <w:p w14:paraId="57386C2A"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2.1</w:t>
            </w:r>
          </w:p>
        </w:tc>
        <w:tc>
          <w:tcPr>
            <w:tcW w:w="7461" w:type="dxa"/>
          </w:tcPr>
          <w:p w14:paraId="2A9A593B"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certidão informou se foi incluído/excluído/alterado algum elemento da minuta padronizada que demanda análise jurídica?</w:t>
            </w:r>
          </w:p>
        </w:tc>
        <w:tc>
          <w:tcPr>
            <w:tcW w:w="1418" w:type="dxa"/>
          </w:tcPr>
          <w:p w14:paraId="7E5DFB54"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767FCFFB"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CFD1799" w14:textId="77777777" w:rsidTr="0012105D">
        <w:trPr>
          <w:trHeight w:val="302"/>
        </w:trPr>
        <w:tc>
          <w:tcPr>
            <w:tcW w:w="760" w:type="dxa"/>
            <w:vAlign w:val="center"/>
          </w:tcPr>
          <w:p w14:paraId="55164D70"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2.2</w:t>
            </w:r>
          </w:p>
        </w:tc>
        <w:tc>
          <w:tcPr>
            <w:tcW w:w="7461" w:type="dxa"/>
          </w:tcPr>
          <w:p w14:paraId="53A5A3D8"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necessidade de análise jurídica de que trata o subitem 2.1 desta lista de verificação já está abrangida pelas recomendações contidas no Parecer Referencial PGE/MS/CJUR-SEL nº 01/2023?</w:t>
            </w:r>
          </w:p>
          <w:p w14:paraId="148B6D5D"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43EF3EBC" w14:textId="77777777" w:rsidR="00827CD0" w:rsidRPr="00AE0306" w:rsidRDefault="00827CD0" w:rsidP="0012105D">
            <w:pPr>
              <w:spacing w:after="120"/>
              <w:ind w:left="119"/>
              <w:jc w:val="both"/>
              <w:rPr>
                <w:rFonts w:ascii="Times New Roman" w:eastAsia="Times New Roman" w:hAnsi="Times New Roman" w:cs="Times New Roman"/>
                <w:i/>
                <w:lang w:val="pt-BR"/>
              </w:rPr>
            </w:pPr>
            <w:r w:rsidRPr="00AE0306">
              <w:rPr>
                <w:rFonts w:ascii="Times New Roman" w:eastAsia="Times New Roman" w:hAnsi="Times New Roman" w:cs="Times New Roman"/>
                <w:i/>
                <w:lang w:val="pt-BR"/>
              </w:rPr>
              <w:t>OBS: Em caso negativo, os autos devem ser remetidos à PGE/MS, para a análise específica sobre esses pontos (Decreto 15.404, de 2020).</w:t>
            </w:r>
          </w:p>
        </w:tc>
        <w:tc>
          <w:tcPr>
            <w:tcW w:w="1418" w:type="dxa"/>
          </w:tcPr>
          <w:p w14:paraId="4C4683B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838FADF"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69CD1E4" w14:textId="77777777" w:rsidTr="0012105D">
        <w:trPr>
          <w:trHeight w:val="302"/>
        </w:trPr>
        <w:tc>
          <w:tcPr>
            <w:tcW w:w="760" w:type="dxa"/>
            <w:vAlign w:val="center"/>
          </w:tcPr>
          <w:p w14:paraId="247F3993"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3.</w:t>
            </w:r>
          </w:p>
        </w:tc>
        <w:tc>
          <w:tcPr>
            <w:tcW w:w="7461" w:type="dxa"/>
          </w:tcPr>
          <w:p w14:paraId="3FD092F2"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especificação do objeto no Termo de Referência observou a existência de catálogo eletrônico de padronização?</w:t>
            </w:r>
          </w:p>
        </w:tc>
        <w:tc>
          <w:tcPr>
            <w:tcW w:w="1418" w:type="dxa"/>
          </w:tcPr>
          <w:p w14:paraId="3FA21FE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9AE165D"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C941251" w14:textId="77777777" w:rsidTr="0012105D">
        <w:trPr>
          <w:trHeight w:val="302"/>
        </w:trPr>
        <w:tc>
          <w:tcPr>
            <w:tcW w:w="760" w:type="dxa"/>
            <w:vAlign w:val="center"/>
          </w:tcPr>
          <w:p w14:paraId="392CE514"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3.1. </w:t>
            </w:r>
          </w:p>
        </w:tc>
        <w:tc>
          <w:tcPr>
            <w:tcW w:w="7461" w:type="dxa"/>
          </w:tcPr>
          <w:p w14:paraId="0A5D148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não utilização do catálogo eletrônico de padronização foi justificada por escrito e anexada ao respectivo processo licitatório? (art. 19, §2º, da Lei nº 14.133/2021)</w:t>
            </w:r>
          </w:p>
        </w:tc>
        <w:tc>
          <w:tcPr>
            <w:tcW w:w="1418" w:type="dxa"/>
          </w:tcPr>
          <w:p w14:paraId="2FE90D81"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1AB7E9E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42F1731" w14:textId="77777777" w:rsidTr="0012105D">
        <w:trPr>
          <w:trHeight w:val="302"/>
        </w:trPr>
        <w:tc>
          <w:tcPr>
            <w:tcW w:w="760" w:type="dxa"/>
            <w:vAlign w:val="center"/>
          </w:tcPr>
          <w:p w14:paraId="778F5C07"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4. </w:t>
            </w:r>
          </w:p>
        </w:tc>
        <w:tc>
          <w:tcPr>
            <w:tcW w:w="7461" w:type="dxa"/>
          </w:tcPr>
          <w:p w14:paraId="51CA77FF"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Para os fins do disposto no Decreto nº 15.775/2021, o objeto a ser adquirido e que se caracterize como “bem de consumo”, foi qualificado como de qualidade “comum”?</w:t>
            </w:r>
          </w:p>
        </w:tc>
        <w:tc>
          <w:tcPr>
            <w:tcW w:w="1418" w:type="dxa"/>
          </w:tcPr>
          <w:p w14:paraId="5F6A4A6D"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BB61AC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55DF962" w14:textId="77777777" w:rsidTr="0012105D">
        <w:trPr>
          <w:trHeight w:val="302"/>
        </w:trPr>
        <w:tc>
          <w:tcPr>
            <w:tcW w:w="760" w:type="dxa"/>
            <w:vAlign w:val="center"/>
          </w:tcPr>
          <w:p w14:paraId="7D99A224"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4.1.</w:t>
            </w:r>
          </w:p>
        </w:tc>
        <w:tc>
          <w:tcPr>
            <w:tcW w:w="7461" w:type="dxa"/>
          </w:tcPr>
          <w:p w14:paraId="09EE3C23"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Os requisitos que podem resultar em uma restrição na competitividade foram devidamente justificados nos autos?</w:t>
            </w:r>
          </w:p>
        </w:tc>
        <w:tc>
          <w:tcPr>
            <w:tcW w:w="1418" w:type="dxa"/>
          </w:tcPr>
          <w:p w14:paraId="1385C456"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DC9E4DF"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61F4A1F" w14:textId="77777777" w:rsidTr="0012105D">
        <w:trPr>
          <w:trHeight w:val="302"/>
        </w:trPr>
        <w:tc>
          <w:tcPr>
            <w:tcW w:w="760" w:type="dxa"/>
            <w:vAlign w:val="center"/>
          </w:tcPr>
          <w:p w14:paraId="5134EB2F"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5. </w:t>
            </w:r>
          </w:p>
        </w:tc>
        <w:tc>
          <w:tcPr>
            <w:tcW w:w="7461" w:type="dxa"/>
          </w:tcPr>
          <w:p w14:paraId="762F47F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 Termo de Referência especificou a duração do contrato, bem como se este se </w:t>
            </w:r>
            <w:r w:rsidRPr="00AE0306">
              <w:rPr>
                <w:rFonts w:ascii="Times New Roman" w:eastAsia="Times New Roman" w:hAnsi="Times New Roman" w:cs="Times New Roman"/>
                <w:lang w:val="pt-BR"/>
              </w:rPr>
              <w:lastRenderedPageBreak/>
              <w:t>caracteriza como fornecimento contínuo ou contrato por escopo?</w:t>
            </w:r>
          </w:p>
        </w:tc>
        <w:tc>
          <w:tcPr>
            <w:tcW w:w="1418" w:type="dxa"/>
          </w:tcPr>
          <w:p w14:paraId="0EE872B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684F7B3"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90463AC" w14:textId="77777777" w:rsidTr="0012105D">
        <w:trPr>
          <w:trHeight w:val="302"/>
        </w:trPr>
        <w:tc>
          <w:tcPr>
            <w:tcW w:w="760" w:type="dxa"/>
            <w:vAlign w:val="center"/>
          </w:tcPr>
          <w:p w14:paraId="696B54A9"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5.1</w:t>
            </w:r>
          </w:p>
        </w:tc>
        <w:tc>
          <w:tcPr>
            <w:tcW w:w="7461" w:type="dxa"/>
          </w:tcPr>
          <w:p w14:paraId="559BC99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Caso tenha sido classificado como fornecimento contínuo, foi demonstrada a vantagem econômica para a vigência plurianual?</w:t>
            </w:r>
          </w:p>
        </w:tc>
        <w:tc>
          <w:tcPr>
            <w:tcW w:w="1418" w:type="dxa"/>
          </w:tcPr>
          <w:p w14:paraId="5491527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6146F7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D2EA6AF" w14:textId="77777777" w:rsidTr="0012105D">
        <w:trPr>
          <w:trHeight w:val="302"/>
        </w:trPr>
        <w:tc>
          <w:tcPr>
            <w:tcW w:w="760" w:type="dxa"/>
            <w:vAlign w:val="center"/>
          </w:tcPr>
          <w:p w14:paraId="78708F9A"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6.</w:t>
            </w:r>
          </w:p>
        </w:tc>
        <w:tc>
          <w:tcPr>
            <w:tcW w:w="7461" w:type="dxa"/>
          </w:tcPr>
          <w:p w14:paraId="11420A2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Na hipótese de prévia indicação de marca para a aquisição de determinado bem foi apresentada a justificativa em uma das hipóteses do inciso I do art. 41 da Lei nº 14.133/2021?</w:t>
            </w:r>
          </w:p>
          <w:p w14:paraId="2D8C0961"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7050A334"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OBS: </w:t>
            </w:r>
            <w:r w:rsidRPr="00AE0306">
              <w:rPr>
                <w:rFonts w:ascii="Times New Roman" w:eastAsia="Times New Roman" w:hAnsi="Times New Roman" w:cs="Times New Roman"/>
                <w:i/>
                <w:iCs/>
                <w:lang w:val="pt-BR"/>
              </w:rPr>
              <w:t>“a) em decorrência da necessidade de padronização do objeto; b) em decorrência da necessidade de manter a compatibilidade com plataformas e padrões já adotados pela Administração; c) quando determinada marca ou modelo comercializados por mais de um fornecedor forem os únicos capazes de atender às necessidades do contratante; d) quando a descrição do objeto a ser licitado puder ser mais bem compreendida pela identificação de determinada marca ou determinado modelo aptos a servir apenas como referência”.</w:t>
            </w:r>
          </w:p>
        </w:tc>
        <w:tc>
          <w:tcPr>
            <w:tcW w:w="1418" w:type="dxa"/>
          </w:tcPr>
          <w:p w14:paraId="60920158"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C4A65C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6BB120C" w14:textId="77777777" w:rsidTr="0012105D">
        <w:trPr>
          <w:trHeight w:val="302"/>
        </w:trPr>
        <w:tc>
          <w:tcPr>
            <w:tcW w:w="760" w:type="dxa"/>
            <w:vAlign w:val="center"/>
          </w:tcPr>
          <w:p w14:paraId="71BD4DEE"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7.</w:t>
            </w:r>
          </w:p>
        </w:tc>
        <w:tc>
          <w:tcPr>
            <w:tcW w:w="7461" w:type="dxa"/>
          </w:tcPr>
          <w:p w14:paraId="066392CF"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Termo de Referência especificou o tipo de garantia do produto a ser exigido?</w:t>
            </w:r>
          </w:p>
          <w:p w14:paraId="3503BFAE"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6BDD3DB1" w14:textId="77777777" w:rsidR="00827CD0" w:rsidRPr="00AE0306" w:rsidRDefault="00827CD0" w:rsidP="0012105D">
            <w:pPr>
              <w:spacing w:after="120"/>
              <w:ind w:left="119"/>
              <w:jc w:val="both"/>
              <w:rPr>
                <w:rFonts w:ascii="Times New Roman" w:eastAsia="Times New Roman" w:hAnsi="Times New Roman" w:cs="Times New Roman"/>
                <w:i/>
                <w:lang w:val="pt-BR"/>
              </w:rPr>
            </w:pPr>
            <w:r w:rsidRPr="00AE0306">
              <w:rPr>
                <w:rFonts w:ascii="Times New Roman" w:eastAsia="Times New Roman" w:hAnsi="Times New Roman" w:cs="Times New Roman"/>
                <w:i/>
                <w:lang w:val="pt-BR"/>
              </w:rPr>
              <w:t>OBS: A garantia legal está expressa no art. 26 do Código de Defesa do Consumidor, adstrita àquelas hipóteses previstas na normativa específica: 30 dias - produtos não-duráveis e 90 dias - produtos duráveis. Por sua vez, a garantia contratual, como espécie complementar à legal, é facultativa e será conferida mediante termo escrito (art. 50 do CDC).</w:t>
            </w:r>
          </w:p>
        </w:tc>
        <w:tc>
          <w:tcPr>
            <w:tcW w:w="1418" w:type="dxa"/>
          </w:tcPr>
          <w:p w14:paraId="21949415"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C01A8F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176E84A" w14:textId="77777777" w:rsidTr="0012105D">
        <w:trPr>
          <w:trHeight w:val="302"/>
        </w:trPr>
        <w:tc>
          <w:tcPr>
            <w:tcW w:w="760" w:type="dxa"/>
            <w:vAlign w:val="center"/>
          </w:tcPr>
          <w:p w14:paraId="11B030CD"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7.1.</w:t>
            </w:r>
          </w:p>
        </w:tc>
        <w:tc>
          <w:tcPr>
            <w:tcW w:w="7461" w:type="dxa"/>
          </w:tcPr>
          <w:p w14:paraId="2F4CE52A"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Na hipótese de ter sido exigido que os serviços de manutenção e assistência técnica sejam prestados mediante deslocamento de técnico ou disponibilizados em unidade de prestação de serviços localizada em distância compatível com as necessidades da contratação, foram apresentadas as justificativas na fase preparatória?</w:t>
            </w:r>
          </w:p>
        </w:tc>
        <w:tc>
          <w:tcPr>
            <w:tcW w:w="1418" w:type="dxa"/>
          </w:tcPr>
          <w:p w14:paraId="34005B0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CB18639"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0138962" w14:textId="77777777" w:rsidTr="0012105D">
        <w:trPr>
          <w:trHeight w:val="302"/>
        </w:trPr>
        <w:tc>
          <w:tcPr>
            <w:tcW w:w="760" w:type="dxa"/>
            <w:vAlign w:val="center"/>
          </w:tcPr>
          <w:p w14:paraId="19BA1F79"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w:t>
            </w:r>
          </w:p>
        </w:tc>
        <w:tc>
          <w:tcPr>
            <w:tcW w:w="7461" w:type="dxa"/>
          </w:tcPr>
          <w:p w14:paraId="14562E77"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Caso o Termo de Referência tenha exigida a prestação de garantia de proposta (art. 58) e/ou garantia contratual (art. 96), foram apresentadas as devidas justificativas para a escolha feita?</w:t>
            </w:r>
          </w:p>
        </w:tc>
        <w:tc>
          <w:tcPr>
            <w:tcW w:w="1418" w:type="dxa"/>
          </w:tcPr>
          <w:p w14:paraId="494145F9"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8264AE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714B2CB" w14:textId="77777777" w:rsidTr="0012105D">
        <w:trPr>
          <w:trHeight w:val="302"/>
        </w:trPr>
        <w:tc>
          <w:tcPr>
            <w:tcW w:w="760" w:type="dxa"/>
            <w:vAlign w:val="center"/>
          </w:tcPr>
          <w:p w14:paraId="288A40CE"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 xml:space="preserve">9. </w:t>
            </w:r>
          </w:p>
        </w:tc>
        <w:tc>
          <w:tcPr>
            <w:tcW w:w="7461" w:type="dxa"/>
          </w:tcPr>
          <w:p w14:paraId="5AE4EE42"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lang w:val="pt-BR"/>
              </w:rPr>
              <w:t>A equipe de planejamento avaliou se o objeto se enquadra como “bem comum” para fins de adoção do pregão eletrônico como modalidade licitatória a ser adotada?</w:t>
            </w:r>
          </w:p>
        </w:tc>
        <w:tc>
          <w:tcPr>
            <w:tcW w:w="1418" w:type="dxa"/>
          </w:tcPr>
          <w:p w14:paraId="1B954880"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490B06E7" w14:textId="77777777" w:rsidR="00827CD0" w:rsidRPr="00AE0306" w:rsidRDefault="00827CD0" w:rsidP="0012105D">
            <w:pPr>
              <w:spacing w:after="120"/>
              <w:rPr>
                <w:rFonts w:ascii="Times New Roman" w:eastAsia="Times New Roman" w:hAnsi="Times New Roman" w:cs="Times New Roman"/>
              </w:rPr>
            </w:pPr>
          </w:p>
        </w:tc>
      </w:tr>
      <w:tr w:rsidR="00AE0306" w:rsidRPr="00AE0306" w14:paraId="78B9427E" w14:textId="77777777" w:rsidTr="0012105D">
        <w:trPr>
          <w:trHeight w:val="302"/>
        </w:trPr>
        <w:tc>
          <w:tcPr>
            <w:tcW w:w="760" w:type="dxa"/>
            <w:vAlign w:val="center"/>
          </w:tcPr>
          <w:p w14:paraId="001BFEA6"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10.</w:t>
            </w:r>
          </w:p>
        </w:tc>
        <w:tc>
          <w:tcPr>
            <w:tcW w:w="7461" w:type="dxa"/>
          </w:tcPr>
          <w:p w14:paraId="4D04E52B"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lang w:val="pt-BR"/>
              </w:rPr>
              <w:t>O “critério de julgamento” ficou restrito ao “menor preço” ou o “maior desconto”?</w:t>
            </w:r>
          </w:p>
        </w:tc>
        <w:tc>
          <w:tcPr>
            <w:tcW w:w="1418" w:type="dxa"/>
          </w:tcPr>
          <w:p w14:paraId="4FD88BAC"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417320AC" w14:textId="77777777" w:rsidR="00827CD0" w:rsidRPr="00AE0306" w:rsidRDefault="00827CD0" w:rsidP="0012105D">
            <w:pPr>
              <w:spacing w:after="120"/>
              <w:rPr>
                <w:rFonts w:ascii="Times New Roman" w:eastAsia="Times New Roman" w:hAnsi="Times New Roman" w:cs="Times New Roman"/>
              </w:rPr>
            </w:pPr>
          </w:p>
        </w:tc>
      </w:tr>
      <w:tr w:rsidR="00AE0306" w:rsidRPr="00AE0306" w14:paraId="1CAEA419" w14:textId="77777777" w:rsidTr="0012105D">
        <w:trPr>
          <w:trHeight w:val="302"/>
        </w:trPr>
        <w:tc>
          <w:tcPr>
            <w:tcW w:w="760" w:type="dxa"/>
            <w:vAlign w:val="center"/>
          </w:tcPr>
          <w:p w14:paraId="7638DE12"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11.</w:t>
            </w:r>
          </w:p>
        </w:tc>
        <w:tc>
          <w:tcPr>
            <w:tcW w:w="7461" w:type="dxa"/>
          </w:tcPr>
          <w:p w14:paraId="7EAC53F1"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lang w:val="pt-BR"/>
              </w:rPr>
              <w:t>O termo de referência definiu o modo de disputa “</w:t>
            </w:r>
            <w:r w:rsidRPr="00AE0306">
              <w:rPr>
                <w:rFonts w:ascii="Times New Roman" w:eastAsia="Times New Roman" w:hAnsi="Times New Roman" w:cs="Times New Roman"/>
                <w:i/>
                <w:lang w:val="pt-BR"/>
              </w:rPr>
              <w:t>aberto</w:t>
            </w:r>
            <w:r w:rsidRPr="00AE0306">
              <w:rPr>
                <w:rFonts w:ascii="Times New Roman" w:eastAsia="Times New Roman" w:hAnsi="Times New Roman" w:cs="Times New Roman"/>
                <w:lang w:val="pt-BR"/>
              </w:rPr>
              <w:t>”, “</w:t>
            </w:r>
            <w:r w:rsidRPr="00AE0306">
              <w:rPr>
                <w:rFonts w:ascii="Times New Roman" w:eastAsia="Times New Roman" w:hAnsi="Times New Roman" w:cs="Times New Roman"/>
                <w:i/>
                <w:lang w:val="pt-BR"/>
              </w:rPr>
              <w:t>aberto-fechado</w:t>
            </w:r>
            <w:r w:rsidRPr="00AE0306">
              <w:rPr>
                <w:rFonts w:ascii="Times New Roman" w:eastAsia="Times New Roman" w:hAnsi="Times New Roman" w:cs="Times New Roman"/>
                <w:lang w:val="pt-BR"/>
              </w:rPr>
              <w:t>” ou “</w:t>
            </w:r>
            <w:r w:rsidRPr="00AE0306">
              <w:rPr>
                <w:rFonts w:ascii="Times New Roman" w:eastAsia="Times New Roman" w:hAnsi="Times New Roman" w:cs="Times New Roman"/>
                <w:i/>
                <w:lang w:val="pt-BR"/>
              </w:rPr>
              <w:t>fechado-aberto</w:t>
            </w:r>
            <w:r w:rsidRPr="00AE0306">
              <w:rPr>
                <w:rFonts w:ascii="Times New Roman" w:eastAsia="Times New Roman" w:hAnsi="Times New Roman" w:cs="Times New Roman"/>
                <w:lang w:val="pt-BR"/>
              </w:rPr>
              <w:t>” a ser adotado no certame?</w:t>
            </w:r>
          </w:p>
        </w:tc>
        <w:tc>
          <w:tcPr>
            <w:tcW w:w="1418" w:type="dxa"/>
          </w:tcPr>
          <w:p w14:paraId="341D4B0C"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62D4E6FF" w14:textId="77777777" w:rsidR="00827CD0" w:rsidRPr="00AE0306" w:rsidRDefault="00827CD0" w:rsidP="0012105D">
            <w:pPr>
              <w:spacing w:after="120"/>
              <w:rPr>
                <w:rFonts w:ascii="Times New Roman" w:eastAsia="Times New Roman" w:hAnsi="Times New Roman" w:cs="Times New Roman"/>
              </w:rPr>
            </w:pPr>
          </w:p>
        </w:tc>
      </w:tr>
      <w:tr w:rsidR="00AE0306" w:rsidRPr="00AE0306" w14:paraId="0E47DDF0" w14:textId="77777777" w:rsidTr="0012105D">
        <w:trPr>
          <w:trHeight w:val="302"/>
        </w:trPr>
        <w:tc>
          <w:tcPr>
            <w:tcW w:w="760" w:type="dxa"/>
            <w:vAlign w:val="center"/>
          </w:tcPr>
          <w:p w14:paraId="72DA164A"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11.1</w:t>
            </w:r>
          </w:p>
        </w:tc>
        <w:tc>
          <w:tcPr>
            <w:tcW w:w="7461" w:type="dxa"/>
          </w:tcPr>
          <w:p w14:paraId="33961277"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lang w:val="pt-BR"/>
              </w:rPr>
              <w:t>A equipe de planejamento justificou a escolha do modo de disputa?</w:t>
            </w:r>
          </w:p>
        </w:tc>
        <w:tc>
          <w:tcPr>
            <w:tcW w:w="1418" w:type="dxa"/>
          </w:tcPr>
          <w:p w14:paraId="1F4F2331"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3A05DEFA" w14:textId="77777777" w:rsidR="00827CD0" w:rsidRPr="00AE0306" w:rsidRDefault="00827CD0" w:rsidP="0012105D">
            <w:pPr>
              <w:spacing w:after="120"/>
              <w:rPr>
                <w:rFonts w:ascii="Times New Roman" w:eastAsia="Times New Roman" w:hAnsi="Times New Roman" w:cs="Times New Roman"/>
              </w:rPr>
            </w:pPr>
          </w:p>
        </w:tc>
      </w:tr>
      <w:tr w:rsidR="00AE0306" w:rsidRPr="00AE0306" w14:paraId="1971963B" w14:textId="77777777" w:rsidTr="0012105D">
        <w:trPr>
          <w:trHeight w:val="302"/>
        </w:trPr>
        <w:tc>
          <w:tcPr>
            <w:tcW w:w="760" w:type="dxa"/>
            <w:vAlign w:val="center"/>
          </w:tcPr>
          <w:p w14:paraId="7619EDBE"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12. </w:t>
            </w:r>
          </w:p>
        </w:tc>
        <w:tc>
          <w:tcPr>
            <w:tcW w:w="7461" w:type="dxa"/>
          </w:tcPr>
          <w:p w14:paraId="5BC27CA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Foi incluída alguma exigência de HABILITAÇÃO JURÍDICA distinta daquelas padronizadas na minuta do Termo de Referência?</w:t>
            </w:r>
          </w:p>
        </w:tc>
        <w:tc>
          <w:tcPr>
            <w:tcW w:w="1418" w:type="dxa"/>
          </w:tcPr>
          <w:p w14:paraId="4F34B21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39FEDC6"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0D80D20D" w14:textId="77777777" w:rsidTr="0012105D">
        <w:trPr>
          <w:trHeight w:val="302"/>
        </w:trPr>
        <w:tc>
          <w:tcPr>
            <w:tcW w:w="760" w:type="dxa"/>
            <w:vAlign w:val="center"/>
          </w:tcPr>
          <w:p w14:paraId="359D0BFB"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13. </w:t>
            </w:r>
          </w:p>
        </w:tc>
        <w:tc>
          <w:tcPr>
            <w:tcW w:w="7461" w:type="dxa"/>
          </w:tcPr>
          <w:p w14:paraId="64E17F03"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Termo de Referência exigiu a apresentação de atestado de capacidade técnica como documento de HABILITAÇÃO TÉCNICA?</w:t>
            </w:r>
          </w:p>
        </w:tc>
        <w:tc>
          <w:tcPr>
            <w:tcW w:w="1418" w:type="dxa"/>
          </w:tcPr>
          <w:p w14:paraId="39D28655"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C78487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90CDCEF" w14:textId="77777777" w:rsidTr="0012105D">
        <w:trPr>
          <w:trHeight w:val="302"/>
        </w:trPr>
        <w:tc>
          <w:tcPr>
            <w:tcW w:w="760" w:type="dxa"/>
            <w:vAlign w:val="center"/>
          </w:tcPr>
          <w:p w14:paraId="220707E1"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13.1</w:t>
            </w:r>
          </w:p>
        </w:tc>
        <w:tc>
          <w:tcPr>
            <w:tcW w:w="7461" w:type="dxa"/>
          </w:tcPr>
          <w:p w14:paraId="02C5FD5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exigência de atestado de capacidade técnica foi justificada nos autos?</w:t>
            </w:r>
          </w:p>
        </w:tc>
        <w:tc>
          <w:tcPr>
            <w:tcW w:w="1418" w:type="dxa"/>
          </w:tcPr>
          <w:p w14:paraId="0094815F"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C33C4AC"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6E243E8" w14:textId="77777777" w:rsidTr="0012105D">
        <w:trPr>
          <w:trHeight w:val="302"/>
        </w:trPr>
        <w:tc>
          <w:tcPr>
            <w:tcW w:w="760" w:type="dxa"/>
            <w:vAlign w:val="center"/>
          </w:tcPr>
          <w:p w14:paraId="0D849D7C"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13.2</w:t>
            </w:r>
          </w:p>
        </w:tc>
        <w:tc>
          <w:tcPr>
            <w:tcW w:w="7461" w:type="dxa"/>
          </w:tcPr>
          <w:p w14:paraId="339A5DA9"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exigência de que trata o subitem 14 desta Lista de Verificação ficou restrita às parcelas de maior relevância ou valor significativo do objeto da licitação?</w:t>
            </w:r>
          </w:p>
          <w:p w14:paraId="4407FE67"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01B77F60"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OBS: a “</w:t>
            </w:r>
            <w:r w:rsidRPr="00AE0306">
              <w:rPr>
                <w:rFonts w:ascii="Times New Roman" w:eastAsia="Times New Roman" w:hAnsi="Times New Roman" w:cs="Times New Roman"/>
                <w:i/>
                <w:iCs/>
                <w:lang w:val="pt-BR"/>
              </w:rPr>
              <w:t>exigência de atestados será restrita às parcelas de maior relevância ou valor significativo do objeto da licitação, assim consideradas as que tenham valor individual igual ou superior a 4% (quatro por cento) do valor total estimado da contratação</w:t>
            </w:r>
            <w:r w:rsidRPr="00AE0306">
              <w:rPr>
                <w:rFonts w:ascii="Times New Roman" w:eastAsia="Times New Roman" w:hAnsi="Times New Roman" w:cs="Times New Roman"/>
                <w:lang w:val="pt-BR"/>
              </w:rPr>
              <w:t>”.</w:t>
            </w:r>
          </w:p>
        </w:tc>
        <w:tc>
          <w:tcPr>
            <w:tcW w:w="1418" w:type="dxa"/>
          </w:tcPr>
          <w:p w14:paraId="779E441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DA610E1"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5017C12" w14:textId="77777777" w:rsidTr="0012105D">
        <w:trPr>
          <w:trHeight w:val="302"/>
        </w:trPr>
        <w:tc>
          <w:tcPr>
            <w:tcW w:w="760" w:type="dxa"/>
            <w:vAlign w:val="center"/>
          </w:tcPr>
          <w:p w14:paraId="2153EFA7"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13.3</w:t>
            </w:r>
          </w:p>
        </w:tc>
        <w:tc>
          <w:tcPr>
            <w:tcW w:w="7461" w:type="dxa"/>
          </w:tcPr>
          <w:p w14:paraId="2C1DA160"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Foi especificada a quantidade mínima da parcela do objeto que deverá ser comprovada por meio de atestado de capacidade técnica, bem como foi </w:t>
            </w:r>
            <w:r w:rsidRPr="00AE0306">
              <w:rPr>
                <w:rFonts w:ascii="Times New Roman" w:hAnsi="Times New Roman" w:cs="Times New Roman"/>
                <w:bCs/>
                <w:lang w:val="pt-BR"/>
              </w:rPr>
              <w:t>respeitado a quantidade de até 50% da referida parcela?</w:t>
            </w:r>
            <w:r w:rsidRPr="00AE0306">
              <w:rPr>
                <w:rFonts w:ascii="Times New Roman" w:eastAsia="Times New Roman" w:hAnsi="Times New Roman" w:cs="Times New Roman"/>
                <w:lang w:val="pt-BR"/>
              </w:rPr>
              <w:t xml:space="preserve"> </w:t>
            </w:r>
          </w:p>
        </w:tc>
        <w:tc>
          <w:tcPr>
            <w:tcW w:w="1418" w:type="dxa"/>
          </w:tcPr>
          <w:p w14:paraId="07C4B333"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01B5E68"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A8F1E1B" w14:textId="77777777" w:rsidTr="0012105D">
        <w:trPr>
          <w:trHeight w:val="302"/>
        </w:trPr>
        <w:tc>
          <w:tcPr>
            <w:tcW w:w="760" w:type="dxa"/>
            <w:vAlign w:val="center"/>
          </w:tcPr>
          <w:p w14:paraId="35019289"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14. </w:t>
            </w:r>
          </w:p>
        </w:tc>
        <w:tc>
          <w:tcPr>
            <w:tcW w:w="7461" w:type="dxa"/>
          </w:tcPr>
          <w:p w14:paraId="185F5D00"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exigência de comprovação da boa situação financeira do licitante, por meio coeficientes e índices econômicos, foi justificada no processo?</w:t>
            </w:r>
          </w:p>
        </w:tc>
        <w:tc>
          <w:tcPr>
            <w:tcW w:w="1418" w:type="dxa"/>
          </w:tcPr>
          <w:p w14:paraId="1D7F8A91"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0F38DA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035206F6" w14:textId="77777777" w:rsidTr="0012105D">
        <w:trPr>
          <w:trHeight w:val="302"/>
        </w:trPr>
        <w:tc>
          <w:tcPr>
            <w:tcW w:w="760" w:type="dxa"/>
            <w:vAlign w:val="center"/>
          </w:tcPr>
          <w:p w14:paraId="3F82E01A"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15. </w:t>
            </w:r>
          </w:p>
        </w:tc>
        <w:tc>
          <w:tcPr>
            <w:tcW w:w="7461" w:type="dxa"/>
          </w:tcPr>
          <w:p w14:paraId="1ADC2DAC"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Termo de Referência foi assinado, rubricado em todas as suas folhas e datado pela equipe de planejamento da contratação, bem como aprovado pela autoridade máxima do órgão ou entidade demandante?</w:t>
            </w:r>
          </w:p>
        </w:tc>
        <w:tc>
          <w:tcPr>
            <w:tcW w:w="1418" w:type="dxa"/>
          </w:tcPr>
          <w:p w14:paraId="0BD0EC5D"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9086D3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6A7A8B7" w14:textId="77777777" w:rsidTr="0012105D">
        <w:trPr>
          <w:trHeight w:val="299"/>
        </w:trPr>
        <w:tc>
          <w:tcPr>
            <w:tcW w:w="760" w:type="dxa"/>
            <w:shd w:val="clear" w:color="auto" w:fill="808080"/>
            <w:vAlign w:val="center"/>
          </w:tcPr>
          <w:p w14:paraId="7CE1BF24"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7B6EB59F"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PESQUISA DE PREÇO</w:t>
            </w:r>
          </w:p>
        </w:tc>
        <w:tc>
          <w:tcPr>
            <w:tcW w:w="1418" w:type="dxa"/>
            <w:shd w:val="clear" w:color="auto" w:fill="808080"/>
            <w:vAlign w:val="center"/>
          </w:tcPr>
          <w:p w14:paraId="613A9B1B"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205D4EE0"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27196E58" w14:textId="77777777" w:rsidTr="0012105D">
        <w:trPr>
          <w:trHeight w:val="302"/>
        </w:trPr>
        <w:tc>
          <w:tcPr>
            <w:tcW w:w="760" w:type="dxa"/>
            <w:vAlign w:val="center"/>
          </w:tcPr>
          <w:p w14:paraId="590036F1"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784899CF"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A pesquisa de preços foi materializada em documento contendo, no mínimo, os elementos exigidos no art. 5º do </w:t>
            </w:r>
            <w:r w:rsidRPr="00AE0306">
              <w:rPr>
                <w:rFonts w:ascii="Times New Roman" w:hAnsi="Times New Roman" w:cs="Times New Roman"/>
                <w:sz w:val="24"/>
                <w:szCs w:val="24"/>
                <w:lang w:val="pt-BR"/>
              </w:rPr>
              <w:t>Decreto nº 15.940/2022</w:t>
            </w:r>
            <w:r w:rsidRPr="00AE0306">
              <w:rPr>
                <w:rFonts w:ascii="Times New Roman" w:eastAsia="Times New Roman" w:hAnsi="Times New Roman" w:cs="Times New Roman"/>
                <w:lang w:val="pt-BR"/>
              </w:rPr>
              <w:t>?</w:t>
            </w:r>
          </w:p>
          <w:p w14:paraId="1441875F"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30F31404" w14:textId="77777777" w:rsidR="00827CD0" w:rsidRPr="00AE0306" w:rsidRDefault="00827CD0" w:rsidP="0012105D">
            <w:pPr>
              <w:spacing w:after="120"/>
              <w:ind w:left="119"/>
              <w:jc w:val="both"/>
              <w:rPr>
                <w:rFonts w:ascii="Times New Roman" w:eastAsia="Times New Roman" w:hAnsi="Times New Roman" w:cs="Times New Roman"/>
                <w:i/>
                <w:iCs/>
                <w:lang w:val="pt-BR"/>
              </w:rPr>
            </w:pPr>
            <w:r w:rsidRPr="00AE0306">
              <w:rPr>
                <w:rFonts w:ascii="Times New Roman" w:eastAsia="Times New Roman" w:hAnsi="Times New Roman" w:cs="Times New Roman"/>
                <w:lang w:val="pt-BR"/>
              </w:rPr>
              <w:t xml:space="preserve">OBS: </w:t>
            </w:r>
            <w:r w:rsidRPr="00AE0306">
              <w:rPr>
                <w:rFonts w:ascii="Times New Roman" w:eastAsia="Times New Roman" w:hAnsi="Times New Roman" w:cs="Times New Roman"/>
                <w:i/>
                <w:iCs/>
                <w:lang w:val="pt-BR"/>
              </w:rPr>
              <w:t>I - identificação do processo administrativo; II - identificação do objeto pesquisado; III - identificação da fonte de pesquisa e o preço praticado; IV - método utilizado para a definição do valor estimado e a respectiva justificativa da escolha; V - justificativa para exclusão de preços considerados inexequíveis ou excessivamente elevados; VI - identificação do servidor responsável pela elaboração da pesquisa e do mapa comparativo de preços; VII - data da sua elaboração.</w:t>
            </w:r>
          </w:p>
        </w:tc>
        <w:tc>
          <w:tcPr>
            <w:tcW w:w="1418" w:type="dxa"/>
          </w:tcPr>
          <w:p w14:paraId="7853A262"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B898E00"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12F28FF" w14:textId="77777777" w:rsidTr="0012105D">
        <w:trPr>
          <w:trHeight w:val="302"/>
        </w:trPr>
        <w:tc>
          <w:tcPr>
            <w:tcW w:w="760" w:type="dxa"/>
            <w:vAlign w:val="center"/>
          </w:tcPr>
          <w:p w14:paraId="15AADF5E"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w:t>
            </w:r>
          </w:p>
        </w:tc>
        <w:tc>
          <w:tcPr>
            <w:tcW w:w="7461" w:type="dxa"/>
          </w:tcPr>
          <w:p w14:paraId="5747D1DE"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pesquisa de preço foi realizada após a elaboração do Termo de Referência?</w:t>
            </w:r>
          </w:p>
        </w:tc>
        <w:tc>
          <w:tcPr>
            <w:tcW w:w="1418" w:type="dxa"/>
          </w:tcPr>
          <w:p w14:paraId="794B1EBE"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1E74AD8"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A8CF7B2" w14:textId="77777777" w:rsidTr="0012105D">
        <w:trPr>
          <w:trHeight w:val="302"/>
        </w:trPr>
        <w:tc>
          <w:tcPr>
            <w:tcW w:w="760" w:type="dxa"/>
            <w:vAlign w:val="center"/>
          </w:tcPr>
          <w:p w14:paraId="79448105"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3.</w:t>
            </w:r>
          </w:p>
        </w:tc>
        <w:tc>
          <w:tcPr>
            <w:tcW w:w="7461" w:type="dxa"/>
          </w:tcPr>
          <w:p w14:paraId="54169A78"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pesquisa de preço utilizou uma cesta de preços aceitável, com no mínimo três pesquisas?</w:t>
            </w:r>
          </w:p>
        </w:tc>
        <w:tc>
          <w:tcPr>
            <w:tcW w:w="1418" w:type="dxa"/>
          </w:tcPr>
          <w:p w14:paraId="0230DEF7"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7E6566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8182ACD" w14:textId="77777777" w:rsidTr="0012105D">
        <w:trPr>
          <w:trHeight w:val="302"/>
        </w:trPr>
        <w:tc>
          <w:tcPr>
            <w:tcW w:w="760" w:type="dxa"/>
            <w:vAlign w:val="center"/>
          </w:tcPr>
          <w:p w14:paraId="1D074F71"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3.1</w:t>
            </w:r>
          </w:p>
        </w:tc>
        <w:tc>
          <w:tcPr>
            <w:tcW w:w="7461" w:type="dxa"/>
          </w:tcPr>
          <w:p w14:paraId="3C7F6B7B"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Em caso de pesquisa com menos de três preços, apresentou-se justificativa?</w:t>
            </w:r>
          </w:p>
        </w:tc>
        <w:tc>
          <w:tcPr>
            <w:tcW w:w="1418" w:type="dxa"/>
          </w:tcPr>
          <w:p w14:paraId="7F4B27D2"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14390D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203B4DD" w14:textId="77777777" w:rsidTr="0012105D">
        <w:trPr>
          <w:trHeight w:val="302"/>
        </w:trPr>
        <w:tc>
          <w:tcPr>
            <w:tcW w:w="760" w:type="dxa"/>
            <w:vAlign w:val="center"/>
          </w:tcPr>
          <w:p w14:paraId="722EB1C5"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4. </w:t>
            </w:r>
          </w:p>
        </w:tc>
        <w:tc>
          <w:tcPr>
            <w:tcW w:w="7461" w:type="dxa"/>
          </w:tcPr>
          <w:p w14:paraId="0466B9DC"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As pesquisas utilizaram preferencialmente os parâmetros estabelecidos nos incisos I a IV do caput do art. 4º do Decreto nº 15.540/2021?</w:t>
            </w:r>
          </w:p>
        </w:tc>
        <w:tc>
          <w:tcPr>
            <w:tcW w:w="1418" w:type="dxa"/>
          </w:tcPr>
          <w:p w14:paraId="73F4DC59"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13B641B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03DFFD2" w14:textId="77777777" w:rsidTr="0012105D">
        <w:trPr>
          <w:trHeight w:val="302"/>
        </w:trPr>
        <w:tc>
          <w:tcPr>
            <w:tcW w:w="760" w:type="dxa"/>
            <w:vAlign w:val="center"/>
          </w:tcPr>
          <w:p w14:paraId="733E62A4"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4.1.</w:t>
            </w:r>
          </w:p>
        </w:tc>
        <w:tc>
          <w:tcPr>
            <w:tcW w:w="7461" w:type="dxa"/>
          </w:tcPr>
          <w:p w14:paraId="3B5B1E0C"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Em caso de não utilização da preferência de que trata o subitem 4 desta Lista de Verificação, os responsáveis pela pesquisa de preço apresentaram as justificativas cabíveis?</w:t>
            </w:r>
          </w:p>
        </w:tc>
        <w:tc>
          <w:tcPr>
            <w:tcW w:w="1418" w:type="dxa"/>
          </w:tcPr>
          <w:p w14:paraId="319C7E9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5BB029BC"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2667A96" w14:textId="77777777" w:rsidTr="0012105D">
        <w:trPr>
          <w:trHeight w:val="302"/>
        </w:trPr>
        <w:tc>
          <w:tcPr>
            <w:tcW w:w="760" w:type="dxa"/>
            <w:vAlign w:val="center"/>
          </w:tcPr>
          <w:p w14:paraId="358BCBB2"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5.</w:t>
            </w:r>
          </w:p>
        </w:tc>
        <w:tc>
          <w:tcPr>
            <w:tcW w:w="7461" w:type="dxa"/>
          </w:tcPr>
          <w:p w14:paraId="4F122C2D"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Na hipótese em que tenha se utilizado de cotação direta com o fornecedor, foi apresentada a justificativa quanto a escolha dos fornecedores consultados?</w:t>
            </w:r>
          </w:p>
        </w:tc>
        <w:tc>
          <w:tcPr>
            <w:tcW w:w="1418" w:type="dxa"/>
          </w:tcPr>
          <w:p w14:paraId="0735A34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FC48D1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15EEAE3" w14:textId="77777777" w:rsidTr="0012105D">
        <w:trPr>
          <w:trHeight w:val="302"/>
        </w:trPr>
        <w:tc>
          <w:tcPr>
            <w:tcW w:w="760" w:type="dxa"/>
            <w:vAlign w:val="center"/>
          </w:tcPr>
          <w:p w14:paraId="5079994B"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6.</w:t>
            </w:r>
          </w:p>
        </w:tc>
        <w:tc>
          <w:tcPr>
            <w:tcW w:w="7461" w:type="dxa"/>
          </w:tcPr>
          <w:p w14:paraId="63FAB30D"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As pesquisas feitas observaram os termos iniciais e finais de validade fixados nos dispositivos legais que regem essa fase do procedimento?</w:t>
            </w:r>
          </w:p>
        </w:tc>
        <w:tc>
          <w:tcPr>
            <w:tcW w:w="1418" w:type="dxa"/>
          </w:tcPr>
          <w:p w14:paraId="23B3EDA4"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8B05FFB"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27490976" w14:textId="77777777" w:rsidTr="0012105D">
        <w:trPr>
          <w:trHeight w:val="302"/>
        </w:trPr>
        <w:tc>
          <w:tcPr>
            <w:tcW w:w="760" w:type="dxa"/>
            <w:vAlign w:val="center"/>
          </w:tcPr>
          <w:p w14:paraId="2165E3FA"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7.</w:t>
            </w:r>
          </w:p>
        </w:tc>
        <w:tc>
          <w:tcPr>
            <w:tcW w:w="7461" w:type="dxa"/>
          </w:tcPr>
          <w:p w14:paraId="5CE7BBAB"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 xml:space="preserve">Foram juntados os documentos da pesquisa de preço, dentre eles, os relatórios emitidos pelos sítios eletrônicos, portais e ferramentas governamentais, das páginas consultadas dos portais de compras governamentais, dos contratos e das atas de registro de preços vigentes firmados por outros órgãos públicos, das páginas </w:t>
            </w:r>
            <w:r w:rsidRPr="00AE0306">
              <w:rPr>
                <w:rFonts w:ascii="Times New Roman" w:eastAsia="Times New Roman" w:hAnsi="Times New Roman" w:cs="Times New Roman"/>
                <w:lang w:val="pt-BR"/>
              </w:rPr>
              <w:lastRenderedPageBreak/>
              <w:t>consultadas nos sites especializados e da resposta obtida perante o fornecedor, ainda que se trate de manifestação de desinteresse de ofertar cotação?</w:t>
            </w:r>
          </w:p>
        </w:tc>
        <w:tc>
          <w:tcPr>
            <w:tcW w:w="1418" w:type="dxa"/>
          </w:tcPr>
          <w:p w14:paraId="411784C2"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E4CE70F"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2FA2DEE" w14:textId="77777777" w:rsidTr="0012105D">
        <w:trPr>
          <w:trHeight w:val="302"/>
        </w:trPr>
        <w:tc>
          <w:tcPr>
            <w:tcW w:w="760" w:type="dxa"/>
            <w:vAlign w:val="center"/>
          </w:tcPr>
          <w:p w14:paraId="37FCB3A2"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8. </w:t>
            </w:r>
          </w:p>
        </w:tc>
        <w:tc>
          <w:tcPr>
            <w:tcW w:w="7461" w:type="dxa"/>
          </w:tcPr>
          <w:p w14:paraId="7484176E"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Foi utilizado como métodos matemáticos para definição do valor estimado da contratação a média ou a mediana, na forma do §1º do art. 6º do Decreto nº 15.940/2022?</w:t>
            </w:r>
          </w:p>
        </w:tc>
        <w:tc>
          <w:tcPr>
            <w:tcW w:w="1418" w:type="dxa"/>
          </w:tcPr>
          <w:p w14:paraId="0A83BF0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7B44A1A5"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68408C4" w14:textId="77777777" w:rsidTr="0012105D">
        <w:trPr>
          <w:trHeight w:val="302"/>
        </w:trPr>
        <w:tc>
          <w:tcPr>
            <w:tcW w:w="760" w:type="dxa"/>
            <w:vAlign w:val="center"/>
          </w:tcPr>
          <w:p w14:paraId="22C0C806"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8.1.</w:t>
            </w:r>
          </w:p>
        </w:tc>
        <w:tc>
          <w:tcPr>
            <w:tcW w:w="7461" w:type="dxa"/>
          </w:tcPr>
          <w:p w14:paraId="58C6495F"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Caso tenha sido utilizado outros critérios para definição do valor estimado da contratação, distintos daqueles métodos matemáticos previstos no §1º do art. 6º do Decreto nº 15.940/2022, essa circunstância foi devidamente justificada pelo servidor responsável e aprovado pela autoridade competente?</w:t>
            </w:r>
          </w:p>
        </w:tc>
        <w:tc>
          <w:tcPr>
            <w:tcW w:w="1418" w:type="dxa"/>
          </w:tcPr>
          <w:p w14:paraId="49F9AE62"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AA3BC86"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02E84456" w14:textId="77777777" w:rsidTr="0012105D">
        <w:trPr>
          <w:trHeight w:val="302"/>
        </w:trPr>
        <w:tc>
          <w:tcPr>
            <w:tcW w:w="760" w:type="dxa"/>
            <w:vAlign w:val="center"/>
          </w:tcPr>
          <w:p w14:paraId="525127DC"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 xml:space="preserve">9. </w:t>
            </w:r>
          </w:p>
        </w:tc>
        <w:tc>
          <w:tcPr>
            <w:tcW w:w="7461" w:type="dxa"/>
          </w:tcPr>
          <w:p w14:paraId="0E7308E7"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equipe de planejamento optou pela adoção do orçamento sigiloso?</w:t>
            </w:r>
          </w:p>
        </w:tc>
        <w:tc>
          <w:tcPr>
            <w:tcW w:w="1418" w:type="dxa"/>
          </w:tcPr>
          <w:p w14:paraId="6E29418F"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FC4FB44"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780BEDA5" w14:textId="77777777" w:rsidTr="0012105D">
        <w:trPr>
          <w:trHeight w:val="302"/>
        </w:trPr>
        <w:tc>
          <w:tcPr>
            <w:tcW w:w="760" w:type="dxa"/>
            <w:vAlign w:val="center"/>
          </w:tcPr>
          <w:p w14:paraId="2392488C" w14:textId="77777777" w:rsidR="00827CD0" w:rsidRPr="00AE0306" w:rsidRDefault="00827CD0" w:rsidP="0012105D">
            <w:pPr>
              <w:spacing w:after="120" w:line="262"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9.1.</w:t>
            </w:r>
          </w:p>
        </w:tc>
        <w:tc>
          <w:tcPr>
            <w:tcW w:w="7461" w:type="dxa"/>
          </w:tcPr>
          <w:p w14:paraId="3DF5EA4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Na hipótese em que tenha sido adotado o orçamento sigiloso, foram apresentadas as razões e justificativas para a escolha feita?</w:t>
            </w:r>
          </w:p>
        </w:tc>
        <w:tc>
          <w:tcPr>
            <w:tcW w:w="1418" w:type="dxa"/>
          </w:tcPr>
          <w:p w14:paraId="1E292785"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2BDDD39D"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03018FE4" w14:textId="77777777" w:rsidTr="0012105D">
        <w:trPr>
          <w:trHeight w:val="302"/>
        </w:trPr>
        <w:tc>
          <w:tcPr>
            <w:tcW w:w="760" w:type="dxa"/>
            <w:shd w:val="clear" w:color="auto" w:fill="808080"/>
            <w:vAlign w:val="center"/>
          </w:tcPr>
          <w:p w14:paraId="7CA8DB4F"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74F25604"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ANÁLISE FEITA PELA SAD</w:t>
            </w:r>
          </w:p>
        </w:tc>
        <w:tc>
          <w:tcPr>
            <w:tcW w:w="1418" w:type="dxa"/>
            <w:shd w:val="clear" w:color="auto" w:fill="808080"/>
            <w:vAlign w:val="center"/>
          </w:tcPr>
          <w:p w14:paraId="0FDABC16"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556E495E"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2CB4491D" w14:textId="77777777" w:rsidTr="0012105D">
        <w:trPr>
          <w:trHeight w:val="302"/>
        </w:trPr>
        <w:tc>
          <w:tcPr>
            <w:tcW w:w="760" w:type="dxa"/>
            <w:vAlign w:val="center"/>
          </w:tcPr>
          <w:p w14:paraId="6DF9D127" w14:textId="77777777" w:rsidR="00827CD0" w:rsidRPr="00AE0306" w:rsidRDefault="00827CD0" w:rsidP="0012105D">
            <w:pPr>
              <w:spacing w:after="120" w:line="262"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rPr>
              <w:t>1.</w:t>
            </w:r>
          </w:p>
        </w:tc>
        <w:tc>
          <w:tcPr>
            <w:tcW w:w="7461" w:type="dxa"/>
          </w:tcPr>
          <w:p w14:paraId="23D9AF4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Depois de realizada a pesquisa de preço e definido o valor estimado da contratação, os autos foram enviados à Secretaria de Estado de Administração (SAD) para “</w:t>
            </w:r>
            <w:r w:rsidRPr="00AE0306">
              <w:rPr>
                <w:rFonts w:ascii="Times New Roman" w:eastAsia="Times New Roman" w:hAnsi="Times New Roman" w:cs="Times New Roman"/>
                <w:i/>
                <w:lang w:val="pt-BR"/>
              </w:rPr>
              <w:t>a análise das informações formuladas pela área demandante nos processos</w:t>
            </w:r>
            <w:r w:rsidRPr="00AE0306">
              <w:rPr>
                <w:rFonts w:ascii="Times New Roman" w:eastAsia="Times New Roman" w:hAnsi="Times New Roman" w:cs="Times New Roman"/>
                <w:lang w:val="pt-BR"/>
              </w:rPr>
              <w:t>”? (art. 4º do Decreto nº 16.138/2023.</w:t>
            </w:r>
          </w:p>
        </w:tc>
        <w:tc>
          <w:tcPr>
            <w:tcW w:w="1418" w:type="dxa"/>
          </w:tcPr>
          <w:p w14:paraId="7125BC69"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4FB9F9E3" w14:textId="77777777" w:rsidR="00827CD0" w:rsidRPr="00AE0306" w:rsidRDefault="00827CD0" w:rsidP="0012105D">
            <w:pPr>
              <w:spacing w:after="120"/>
              <w:rPr>
                <w:rFonts w:ascii="Times New Roman" w:eastAsia="Times New Roman" w:hAnsi="Times New Roman" w:cs="Times New Roman"/>
              </w:rPr>
            </w:pPr>
          </w:p>
        </w:tc>
      </w:tr>
      <w:tr w:rsidR="00AE0306" w:rsidRPr="00AE0306" w14:paraId="242AD0F1" w14:textId="77777777" w:rsidTr="0012105D">
        <w:trPr>
          <w:trHeight w:val="302"/>
        </w:trPr>
        <w:tc>
          <w:tcPr>
            <w:tcW w:w="760" w:type="dxa"/>
            <w:shd w:val="clear" w:color="auto" w:fill="808080"/>
            <w:vAlign w:val="center"/>
          </w:tcPr>
          <w:p w14:paraId="1B65BA99"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28B449FD"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DOTAÇÃO ORÇAMENTÁRIA</w:t>
            </w:r>
          </w:p>
        </w:tc>
        <w:tc>
          <w:tcPr>
            <w:tcW w:w="1418" w:type="dxa"/>
            <w:shd w:val="clear" w:color="auto" w:fill="808080"/>
            <w:vAlign w:val="center"/>
          </w:tcPr>
          <w:p w14:paraId="2787308D"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085E4933"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42B816DD" w14:textId="77777777" w:rsidTr="0012105D">
        <w:trPr>
          <w:trHeight w:val="302"/>
        </w:trPr>
        <w:tc>
          <w:tcPr>
            <w:tcW w:w="760" w:type="dxa"/>
            <w:vAlign w:val="center"/>
          </w:tcPr>
          <w:p w14:paraId="199E75DC"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6F1C3742" w14:textId="77777777" w:rsidR="00827CD0" w:rsidRPr="00AE0306" w:rsidRDefault="00827CD0" w:rsidP="0012105D">
            <w:pPr>
              <w:spacing w:after="120" w:line="259" w:lineRule="exact"/>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no processo a previsão de recursos orçamentários que assegurem o pagamento das obrigações?</w:t>
            </w:r>
          </w:p>
        </w:tc>
        <w:tc>
          <w:tcPr>
            <w:tcW w:w="1418" w:type="dxa"/>
          </w:tcPr>
          <w:p w14:paraId="2880E3F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73B6B12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32A35827" w14:textId="77777777" w:rsidTr="0012105D">
        <w:trPr>
          <w:trHeight w:val="302"/>
        </w:trPr>
        <w:tc>
          <w:tcPr>
            <w:tcW w:w="760" w:type="dxa"/>
            <w:shd w:val="clear" w:color="auto" w:fill="808080"/>
            <w:vAlign w:val="center"/>
          </w:tcPr>
          <w:p w14:paraId="2B51FE85"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039DECD1"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MODALIDADE LICITATÓRIA</w:t>
            </w:r>
          </w:p>
        </w:tc>
        <w:tc>
          <w:tcPr>
            <w:tcW w:w="1418" w:type="dxa"/>
            <w:shd w:val="clear" w:color="auto" w:fill="808080"/>
            <w:vAlign w:val="center"/>
          </w:tcPr>
          <w:p w14:paraId="5C92BFC0"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04D320F0"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7ACFF78B" w14:textId="77777777" w:rsidTr="0012105D">
        <w:trPr>
          <w:trHeight w:val="302"/>
        </w:trPr>
        <w:tc>
          <w:tcPr>
            <w:tcW w:w="760" w:type="dxa"/>
            <w:vAlign w:val="center"/>
          </w:tcPr>
          <w:p w14:paraId="3F799627"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368222AC"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no processo decisão justificada e assinada quanto a escolha da modalidade licitatória?</w:t>
            </w:r>
          </w:p>
        </w:tc>
        <w:tc>
          <w:tcPr>
            <w:tcW w:w="1418" w:type="dxa"/>
          </w:tcPr>
          <w:p w14:paraId="3978E56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E0617E7"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D14DC9D" w14:textId="77777777" w:rsidTr="0012105D">
        <w:trPr>
          <w:trHeight w:val="302"/>
        </w:trPr>
        <w:tc>
          <w:tcPr>
            <w:tcW w:w="760" w:type="dxa"/>
            <w:vAlign w:val="center"/>
          </w:tcPr>
          <w:p w14:paraId="17588ECD"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w:t>
            </w:r>
          </w:p>
        </w:tc>
        <w:tc>
          <w:tcPr>
            <w:tcW w:w="7461" w:type="dxa"/>
          </w:tcPr>
          <w:p w14:paraId="3B6B1954"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Sendo enquadrado o objeto como bem ou serviço comum, foi adotado o pregão eletrônico?</w:t>
            </w:r>
          </w:p>
        </w:tc>
        <w:tc>
          <w:tcPr>
            <w:tcW w:w="1418" w:type="dxa"/>
          </w:tcPr>
          <w:p w14:paraId="16B7709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1667898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1AF172B" w14:textId="77777777" w:rsidTr="0012105D">
        <w:trPr>
          <w:trHeight w:val="302"/>
        </w:trPr>
        <w:tc>
          <w:tcPr>
            <w:tcW w:w="760" w:type="dxa"/>
            <w:shd w:val="clear" w:color="auto" w:fill="808080"/>
            <w:vAlign w:val="center"/>
          </w:tcPr>
          <w:p w14:paraId="44602636"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37A6C1C8"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LICITAÇÃO EXCLUSIVA E RESERVA DE COTA PARA ME/EPP</w:t>
            </w:r>
          </w:p>
        </w:tc>
        <w:tc>
          <w:tcPr>
            <w:tcW w:w="1418" w:type="dxa"/>
            <w:shd w:val="clear" w:color="auto" w:fill="808080"/>
            <w:vAlign w:val="center"/>
          </w:tcPr>
          <w:p w14:paraId="1364D92B"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1EEC135A"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4D60B8BD" w14:textId="77777777" w:rsidTr="0012105D">
        <w:trPr>
          <w:trHeight w:val="302"/>
        </w:trPr>
        <w:tc>
          <w:tcPr>
            <w:tcW w:w="760" w:type="dxa"/>
            <w:vAlign w:val="center"/>
          </w:tcPr>
          <w:p w14:paraId="1518C4A9"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723D3A6B"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no processo decisão analisando o tratamento diferenciado à ME e EPP? (art. 48 LC 123/2006)</w:t>
            </w:r>
          </w:p>
        </w:tc>
        <w:tc>
          <w:tcPr>
            <w:tcW w:w="1418" w:type="dxa"/>
          </w:tcPr>
          <w:p w14:paraId="31F70F76"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6E18ED9E"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3D43E9F" w14:textId="77777777" w:rsidTr="0012105D">
        <w:trPr>
          <w:trHeight w:val="302"/>
        </w:trPr>
        <w:tc>
          <w:tcPr>
            <w:tcW w:w="760" w:type="dxa"/>
            <w:vAlign w:val="center"/>
          </w:tcPr>
          <w:p w14:paraId="129C0BB2"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w:t>
            </w:r>
          </w:p>
        </w:tc>
        <w:tc>
          <w:tcPr>
            <w:tcW w:w="7461" w:type="dxa"/>
          </w:tcPr>
          <w:p w14:paraId="077967C3"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Na hipótese de licitação exclusiva ou cota reservada para ME/EPP, foi comprovada a existência de pelo menos 3 (três) fornecedores competitivos sediados local ou regionalmente e capazes de cumprir as exigências estabelecidas no instrumento convocatório?</w:t>
            </w:r>
          </w:p>
        </w:tc>
        <w:tc>
          <w:tcPr>
            <w:tcW w:w="1418" w:type="dxa"/>
          </w:tcPr>
          <w:p w14:paraId="578E4AE0"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8DB6592"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6AE534E3" w14:textId="77777777" w:rsidTr="0012105D">
        <w:trPr>
          <w:trHeight w:val="434"/>
        </w:trPr>
        <w:tc>
          <w:tcPr>
            <w:tcW w:w="760" w:type="dxa"/>
            <w:shd w:val="clear" w:color="auto" w:fill="808080"/>
            <w:vAlign w:val="center"/>
          </w:tcPr>
          <w:p w14:paraId="60733685"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3EFF8793"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EDITAL E CONTRATO</w:t>
            </w:r>
          </w:p>
        </w:tc>
        <w:tc>
          <w:tcPr>
            <w:tcW w:w="1418" w:type="dxa"/>
            <w:shd w:val="clear" w:color="auto" w:fill="808080"/>
            <w:vAlign w:val="center"/>
          </w:tcPr>
          <w:p w14:paraId="6C00E485"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794BC583"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1935F1C9" w14:textId="77777777" w:rsidTr="0012105D">
        <w:trPr>
          <w:trHeight w:val="302"/>
        </w:trPr>
        <w:tc>
          <w:tcPr>
            <w:tcW w:w="760" w:type="dxa"/>
            <w:vAlign w:val="center"/>
          </w:tcPr>
          <w:p w14:paraId="762AE3DE"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6674C22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Foram adotadas as minutas padrão de edital e contrato aprovadas pela PGE/MS?</w:t>
            </w:r>
          </w:p>
        </w:tc>
        <w:tc>
          <w:tcPr>
            <w:tcW w:w="1418" w:type="dxa"/>
          </w:tcPr>
          <w:p w14:paraId="2848E115"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EEF9BBA"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5A49EC77" w14:textId="77777777" w:rsidTr="0012105D">
        <w:trPr>
          <w:trHeight w:val="302"/>
        </w:trPr>
        <w:tc>
          <w:tcPr>
            <w:tcW w:w="760" w:type="dxa"/>
            <w:vAlign w:val="center"/>
          </w:tcPr>
          <w:p w14:paraId="45895CDF"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2.</w:t>
            </w:r>
          </w:p>
        </w:tc>
        <w:tc>
          <w:tcPr>
            <w:tcW w:w="7461" w:type="dxa"/>
          </w:tcPr>
          <w:p w14:paraId="41BCC156"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Foi incluído/excluído/alterado algum elemento das minutas padronizadas que demanda uma análise jurídica específica?</w:t>
            </w:r>
          </w:p>
        </w:tc>
        <w:tc>
          <w:tcPr>
            <w:tcW w:w="1418" w:type="dxa"/>
          </w:tcPr>
          <w:p w14:paraId="0151D06B"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3AB559FC"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42AE2081" w14:textId="77777777" w:rsidTr="0012105D">
        <w:trPr>
          <w:trHeight w:val="302"/>
        </w:trPr>
        <w:tc>
          <w:tcPr>
            <w:tcW w:w="760" w:type="dxa"/>
            <w:vAlign w:val="center"/>
          </w:tcPr>
          <w:p w14:paraId="61018751"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lastRenderedPageBreak/>
              <w:t>3.</w:t>
            </w:r>
          </w:p>
        </w:tc>
        <w:tc>
          <w:tcPr>
            <w:tcW w:w="7461" w:type="dxa"/>
          </w:tcPr>
          <w:p w14:paraId="12B1127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Consta dos autos a “</w:t>
            </w:r>
            <w:r w:rsidRPr="00AE0306">
              <w:rPr>
                <w:rFonts w:ascii="Times New Roman" w:eastAsia="Times New Roman" w:hAnsi="Times New Roman" w:cs="Times New Roman"/>
                <w:i/>
                <w:iCs/>
                <w:lang w:val="pt-BR"/>
              </w:rPr>
              <w:t>Certidão de Atendimento das Minutas de Edital e Contrato padronizados”</w:t>
            </w:r>
            <w:r w:rsidRPr="00AE0306">
              <w:rPr>
                <w:rFonts w:ascii="Times New Roman" w:eastAsia="Times New Roman" w:hAnsi="Times New Roman" w:cs="Times New Roman"/>
                <w:lang w:val="pt-BR"/>
              </w:rPr>
              <w:t>, que atesta que o conteúdo do Edital e Contrato seguiu a versão mais atualizada pela PGE/MS?</w:t>
            </w:r>
          </w:p>
        </w:tc>
        <w:tc>
          <w:tcPr>
            <w:tcW w:w="1418" w:type="dxa"/>
          </w:tcPr>
          <w:p w14:paraId="2E1DD8CA"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4A127F65" w14:textId="77777777" w:rsidR="00827CD0" w:rsidRPr="00AE0306" w:rsidRDefault="00827CD0" w:rsidP="0012105D">
            <w:pPr>
              <w:spacing w:after="120"/>
              <w:rPr>
                <w:rFonts w:ascii="Times New Roman" w:eastAsia="Times New Roman" w:hAnsi="Times New Roman" w:cs="Times New Roman"/>
                <w:lang w:val="pt-BR"/>
              </w:rPr>
            </w:pPr>
          </w:p>
        </w:tc>
      </w:tr>
      <w:tr w:rsidR="00AE0306" w:rsidRPr="00AE0306" w14:paraId="1B586BB2" w14:textId="77777777" w:rsidTr="0012105D">
        <w:trPr>
          <w:trHeight w:val="302"/>
        </w:trPr>
        <w:tc>
          <w:tcPr>
            <w:tcW w:w="760" w:type="dxa"/>
            <w:vAlign w:val="center"/>
          </w:tcPr>
          <w:p w14:paraId="2D21D466"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3.1</w:t>
            </w:r>
          </w:p>
        </w:tc>
        <w:tc>
          <w:tcPr>
            <w:tcW w:w="7461" w:type="dxa"/>
          </w:tcPr>
          <w:p w14:paraId="05DE173D"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lang w:val="pt-BR"/>
              </w:rPr>
              <w:t>A certidão informou se foi incluído/excluído/alterado algum elemento da minuta padronizada que demanda análise jurídica?</w:t>
            </w:r>
          </w:p>
        </w:tc>
        <w:tc>
          <w:tcPr>
            <w:tcW w:w="1418" w:type="dxa"/>
          </w:tcPr>
          <w:p w14:paraId="342E2BE5"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6A56B486" w14:textId="77777777" w:rsidR="00827CD0" w:rsidRPr="00AE0306" w:rsidRDefault="00827CD0" w:rsidP="0012105D">
            <w:pPr>
              <w:spacing w:after="120"/>
              <w:rPr>
                <w:rFonts w:ascii="Times New Roman" w:eastAsia="Times New Roman" w:hAnsi="Times New Roman" w:cs="Times New Roman"/>
              </w:rPr>
            </w:pPr>
          </w:p>
        </w:tc>
      </w:tr>
      <w:tr w:rsidR="00AE0306" w:rsidRPr="00AE0306" w14:paraId="5BFF5D85" w14:textId="77777777" w:rsidTr="0012105D">
        <w:trPr>
          <w:trHeight w:val="302"/>
        </w:trPr>
        <w:tc>
          <w:tcPr>
            <w:tcW w:w="760" w:type="dxa"/>
            <w:vAlign w:val="center"/>
          </w:tcPr>
          <w:p w14:paraId="2A285E89" w14:textId="77777777" w:rsidR="00827CD0" w:rsidRPr="00AE0306" w:rsidRDefault="00827CD0" w:rsidP="0012105D">
            <w:pPr>
              <w:spacing w:after="120" w:line="259" w:lineRule="exact"/>
              <w:ind w:left="120"/>
              <w:jc w:val="center"/>
              <w:rPr>
                <w:rFonts w:ascii="Times New Roman" w:eastAsia="Times New Roman" w:hAnsi="Times New Roman" w:cs="Times New Roman"/>
                <w:b/>
              </w:rPr>
            </w:pPr>
            <w:r w:rsidRPr="00AE0306">
              <w:rPr>
                <w:rFonts w:ascii="Times New Roman" w:eastAsia="Times New Roman" w:hAnsi="Times New Roman" w:cs="Times New Roman"/>
                <w:b/>
                <w:lang w:val="pt-BR"/>
              </w:rPr>
              <w:t>3.2</w:t>
            </w:r>
          </w:p>
        </w:tc>
        <w:tc>
          <w:tcPr>
            <w:tcW w:w="7461" w:type="dxa"/>
          </w:tcPr>
          <w:p w14:paraId="69BF838F"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A necessidade de análise jurídica de que trata o subitem 3.1 desta lista de verificação já está abrangida pelas recomendações contidas no Parecer Referencial PGE/MS/CJUR-SEL nº 01/2023?</w:t>
            </w:r>
          </w:p>
          <w:p w14:paraId="73270453" w14:textId="77777777" w:rsidR="00827CD0" w:rsidRPr="00AE0306" w:rsidRDefault="00827CD0" w:rsidP="0012105D">
            <w:pPr>
              <w:spacing w:after="120"/>
              <w:ind w:left="119"/>
              <w:jc w:val="both"/>
              <w:rPr>
                <w:rFonts w:ascii="Times New Roman" w:eastAsia="Times New Roman" w:hAnsi="Times New Roman" w:cs="Times New Roman"/>
                <w:lang w:val="pt-BR"/>
              </w:rPr>
            </w:pPr>
          </w:p>
          <w:p w14:paraId="3ADDDC43" w14:textId="77777777" w:rsidR="00827CD0" w:rsidRPr="00AE0306" w:rsidRDefault="00827CD0" w:rsidP="0012105D">
            <w:pPr>
              <w:spacing w:after="120"/>
              <w:ind w:left="119"/>
              <w:jc w:val="both"/>
              <w:rPr>
                <w:rFonts w:ascii="Times New Roman" w:eastAsia="Times New Roman" w:hAnsi="Times New Roman" w:cs="Times New Roman"/>
              </w:rPr>
            </w:pPr>
            <w:r w:rsidRPr="00AE0306">
              <w:rPr>
                <w:rFonts w:ascii="Times New Roman" w:eastAsia="Times New Roman" w:hAnsi="Times New Roman" w:cs="Times New Roman"/>
                <w:i/>
                <w:lang w:val="pt-BR"/>
              </w:rPr>
              <w:t>OBS: Em caso negativo, os autos devem ser remetidos à PGE/MS, para a análise específica sobre esses pontos (Decreto 15.404, de 2020).</w:t>
            </w:r>
          </w:p>
        </w:tc>
        <w:tc>
          <w:tcPr>
            <w:tcW w:w="1418" w:type="dxa"/>
          </w:tcPr>
          <w:p w14:paraId="6C57D6C5" w14:textId="77777777" w:rsidR="00827CD0" w:rsidRPr="00AE0306" w:rsidRDefault="00827CD0" w:rsidP="0012105D">
            <w:pPr>
              <w:spacing w:after="120"/>
              <w:jc w:val="both"/>
              <w:rPr>
                <w:rFonts w:ascii="Times New Roman" w:eastAsia="Times New Roman" w:hAnsi="Times New Roman" w:cs="Times New Roman"/>
              </w:rPr>
            </w:pPr>
          </w:p>
        </w:tc>
        <w:tc>
          <w:tcPr>
            <w:tcW w:w="835" w:type="dxa"/>
          </w:tcPr>
          <w:p w14:paraId="00D73B02" w14:textId="77777777" w:rsidR="00827CD0" w:rsidRPr="00AE0306" w:rsidRDefault="00827CD0" w:rsidP="0012105D">
            <w:pPr>
              <w:spacing w:after="120"/>
              <w:rPr>
                <w:rFonts w:ascii="Times New Roman" w:eastAsia="Times New Roman" w:hAnsi="Times New Roman" w:cs="Times New Roman"/>
              </w:rPr>
            </w:pPr>
          </w:p>
        </w:tc>
      </w:tr>
      <w:tr w:rsidR="00AE0306" w:rsidRPr="00AE0306" w14:paraId="7EBE0CE6" w14:textId="77777777" w:rsidTr="0012105D">
        <w:trPr>
          <w:trHeight w:val="434"/>
        </w:trPr>
        <w:tc>
          <w:tcPr>
            <w:tcW w:w="760" w:type="dxa"/>
            <w:shd w:val="clear" w:color="auto" w:fill="808080"/>
            <w:vAlign w:val="center"/>
          </w:tcPr>
          <w:p w14:paraId="6EB38E15"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Item</w:t>
            </w:r>
          </w:p>
        </w:tc>
        <w:tc>
          <w:tcPr>
            <w:tcW w:w="7461" w:type="dxa"/>
            <w:shd w:val="clear" w:color="auto" w:fill="808080"/>
            <w:vAlign w:val="center"/>
          </w:tcPr>
          <w:p w14:paraId="795EADF7"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ENCERRAMENTO DA FASE PREPARATÓRIA</w:t>
            </w:r>
          </w:p>
        </w:tc>
        <w:tc>
          <w:tcPr>
            <w:tcW w:w="1418" w:type="dxa"/>
            <w:shd w:val="clear" w:color="auto" w:fill="808080"/>
            <w:vAlign w:val="center"/>
          </w:tcPr>
          <w:p w14:paraId="4044E420" w14:textId="77777777" w:rsidR="00827CD0" w:rsidRPr="00AE0306" w:rsidRDefault="00827CD0" w:rsidP="0012105D">
            <w:pPr>
              <w:spacing w:after="120" w:line="257" w:lineRule="exact"/>
              <w:ind w:left="44"/>
              <w:jc w:val="center"/>
              <w:rPr>
                <w:rFonts w:ascii="Times New Roman" w:eastAsia="Times New Roman" w:hAnsi="Times New Roman" w:cs="Times New Roman"/>
                <w:b/>
                <w:sz w:val="24"/>
                <w:szCs w:val="24"/>
                <w:lang w:val="pt-BR"/>
              </w:rPr>
            </w:pPr>
            <w:r w:rsidRPr="00AE0306">
              <w:rPr>
                <w:rFonts w:ascii="Times New Roman" w:eastAsia="Calibri" w:hAnsi="Times New Roman" w:cs="Times New Roman"/>
                <w:b/>
                <w:bCs/>
                <w:sz w:val="24"/>
                <w:szCs w:val="24"/>
                <w:lang w:val="pt-BR"/>
              </w:rPr>
              <w:t>“S”, “N”, “N.A.”</w:t>
            </w:r>
          </w:p>
        </w:tc>
        <w:tc>
          <w:tcPr>
            <w:tcW w:w="835" w:type="dxa"/>
            <w:shd w:val="clear" w:color="auto" w:fill="808080"/>
            <w:vAlign w:val="center"/>
          </w:tcPr>
          <w:p w14:paraId="2DF08228" w14:textId="77777777" w:rsidR="00827CD0" w:rsidRPr="00AE0306" w:rsidRDefault="00827CD0" w:rsidP="0012105D">
            <w:pPr>
              <w:spacing w:after="120" w:line="257" w:lineRule="exact"/>
              <w:ind w:left="44" w:right="328"/>
              <w:jc w:val="center"/>
              <w:rPr>
                <w:rFonts w:ascii="Times New Roman" w:eastAsia="Times New Roman" w:hAnsi="Times New Roman" w:cs="Times New Roman"/>
                <w:b/>
                <w:sz w:val="24"/>
                <w:szCs w:val="24"/>
                <w:lang w:val="pt-BR"/>
              </w:rPr>
            </w:pPr>
            <w:r w:rsidRPr="00AE0306">
              <w:rPr>
                <w:rFonts w:ascii="Times New Roman" w:eastAsia="Times New Roman" w:hAnsi="Times New Roman" w:cs="Times New Roman"/>
                <w:b/>
                <w:sz w:val="24"/>
                <w:szCs w:val="24"/>
                <w:lang w:val="pt-BR"/>
              </w:rPr>
              <w:t>F.</w:t>
            </w:r>
          </w:p>
        </w:tc>
      </w:tr>
      <w:tr w:rsidR="00AE0306" w:rsidRPr="00AE0306" w14:paraId="4285F710" w14:textId="77777777" w:rsidTr="0012105D">
        <w:trPr>
          <w:trHeight w:val="302"/>
        </w:trPr>
        <w:tc>
          <w:tcPr>
            <w:tcW w:w="760" w:type="dxa"/>
            <w:vAlign w:val="center"/>
          </w:tcPr>
          <w:p w14:paraId="5C01C19F" w14:textId="77777777" w:rsidR="00827CD0" w:rsidRPr="00AE0306" w:rsidRDefault="00827CD0" w:rsidP="0012105D">
            <w:pPr>
              <w:spacing w:after="120" w:line="259" w:lineRule="exact"/>
              <w:ind w:left="120"/>
              <w:jc w:val="center"/>
              <w:rPr>
                <w:rFonts w:ascii="Times New Roman" w:eastAsia="Times New Roman" w:hAnsi="Times New Roman" w:cs="Times New Roman"/>
                <w:b/>
                <w:lang w:val="pt-BR"/>
              </w:rPr>
            </w:pPr>
            <w:r w:rsidRPr="00AE0306">
              <w:rPr>
                <w:rFonts w:ascii="Times New Roman" w:eastAsia="Times New Roman" w:hAnsi="Times New Roman" w:cs="Times New Roman"/>
                <w:b/>
                <w:lang w:val="pt-BR"/>
              </w:rPr>
              <w:t>1.</w:t>
            </w:r>
          </w:p>
        </w:tc>
        <w:tc>
          <w:tcPr>
            <w:tcW w:w="7461" w:type="dxa"/>
          </w:tcPr>
          <w:p w14:paraId="4A6DEA85" w14:textId="77777777" w:rsidR="00827CD0" w:rsidRPr="00AE0306" w:rsidRDefault="00827CD0" w:rsidP="0012105D">
            <w:pPr>
              <w:spacing w:after="120"/>
              <w:ind w:left="119"/>
              <w:jc w:val="both"/>
              <w:rPr>
                <w:rFonts w:ascii="Times New Roman" w:eastAsia="Times New Roman" w:hAnsi="Times New Roman" w:cs="Times New Roman"/>
                <w:lang w:val="pt-BR"/>
              </w:rPr>
            </w:pPr>
            <w:r w:rsidRPr="00AE0306">
              <w:rPr>
                <w:rFonts w:ascii="Times New Roman" w:eastAsia="Times New Roman" w:hAnsi="Times New Roman" w:cs="Times New Roman"/>
                <w:lang w:val="pt-BR"/>
              </w:rPr>
              <w:t>O agente de contratação da fase interna certificou o encerramento da fase preparatória? (caput do art. 12 do Decreto nº 15.941/2022)</w:t>
            </w:r>
          </w:p>
        </w:tc>
        <w:tc>
          <w:tcPr>
            <w:tcW w:w="1418" w:type="dxa"/>
          </w:tcPr>
          <w:p w14:paraId="75CAD085" w14:textId="77777777" w:rsidR="00827CD0" w:rsidRPr="00AE0306" w:rsidRDefault="00827CD0" w:rsidP="0012105D">
            <w:pPr>
              <w:spacing w:after="120"/>
              <w:jc w:val="both"/>
              <w:rPr>
                <w:rFonts w:ascii="Times New Roman" w:eastAsia="Times New Roman" w:hAnsi="Times New Roman" w:cs="Times New Roman"/>
                <w:lang w:val="pt-BR"/>
              </w:rPr>
            </w:pPr>
          </w:p>
        </w:tc>
        <w:tc>
          <w:tcPr>
            <w:tcW w:w="835" w:type="dxa"/>
          </w:tcPr>
          <w:p w14:paraId="00AE8737" w14:textId="77777777" w:rsidR="00827CD0" w:rsidRPr="00AE0306" w:rsidRDefault="00827CD0" w:rsidP="0012105D">
            <w:pPr>
              <w:spacing w:after="120"/>
              <w:rPr>
                <w:rFonts w:ascii="Times New Roman" w:eastAsia="Times New Roman" w:hAnsi="Times New Roman" w:cs="Times New Roman"/>
                <w:lang w:val="pt-BR"/>
              </w:rPr>
            </w:pPr>
          </w:p>
        </w:tc>
      </w:tr>
    </w:tbl>
    <w:p w14:paraId="1CF333D0" w14:textId="77777777" w:rsidR="00827CD0" w:rsidRPr="00AE0306" w:rsidRDefault="00827CD0" w:rsidP="00827CD0">
      <w:pPr>
        <w:widowControl w:val="0"/>
        <w:autoSpaceDE w:val="0"/>
        <w:autoSpaceDN w:val="0"/>
        <w:spacing w:after="120" w:line="240" w:lineRule="auto"/>
        <w:ind w:right="-1136"/>
        <w:rPr>
          <w:rFonts w:ascii="Times New Roman" w:eastAsia="Times New Roman" w:hAnsi="Times New Roman" w:cs="Times New Roman"/>
          <w:b/>
          <w:sz w:val="26"/>
          <w:szCs w:val="23"/>
          <w:lang w:val="pt-PT"/>
        </w:rPr>
      </w:pPr>
    </w:p>
    <w:sectPr w:rsidR="00827CD0" w:rsidRPr="00AE0306" w:rsidSect="00FF0657">
      <w:headerReference w:type="default" r:id="rId8"/>
      <w:footerReference w:type="default" r:id="rId9"/>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1D1D0" w16cex:dateUtc="2023-02-23T15:51:00Z"/>
  <w16cex:commentExtensible w16cex:durableId="27A0AF50" w16cex:dateUtc="2023-02-22T1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9E39C2" w16cid:durableId="27A1D1D0"/>
  <w16cid:commentId w16cid:paraId="2C882B7D" w16cid:durableId="27A0AF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65D83" w14:textId="77777777" w:rsidR="00AA18D2" w:rsidRDefault="00AA18D2" w:rsidP="00297F6B">
      <w:pPr>
        <w:spacing w:after="0" w:line="240" w:lineRule="auto"/>
      </w:pPr>
      <w:r>
        <w:separator/>
      </w:r>
    </w:p>
  </w:endnote>
  <w:endnote w:type="continuationSeparator" w:id="0">
    <w:p w14:paraId="5E2DE69E" w14:textId="77777777" w:rsidR="00AA18D2" w:rsidRDefault="00AA18D2" w:rsidP="0029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altName w:val="Cambria"/>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941848"/>
      <w:docPartObj>
        <w:docPartGallery w:val="Page Numbers (Bottom of Page)"/>
        <w:docPartUnique/>
      </w:docPartObj>
    </w:sdtPr>
    <w:sdtEndPr/>
    <w:sdtContent>
      <w:p w14:paraId="6C24A6FE" w14:textId="20EC229B" w:rsidR="001162DD" w:rsidRDefault="001162DD" w:rsidP="00786E1B">
        <w:pPr>
          <w:pStyle w:val="Rodap"/>
          <w:jc w:val="right"/>
        </w:pPr>
        <w:r>
          <w:fldChar w:fldCharType="begin"/>
        </w:r>
        <w:r>
          <w:instrText>PAGE   \* MERGEFORMAT</w:instrText>
        </w:r>
        <w:r>
          <w:fldChar w:fldCharType="separate"/>
        </w:r>
        <w:r w:rsidR="00441F81">
          <w:rPr>
            <w:noProof/>
          </w:rPr>
          <w:t>9</w:t>
        </w:r>
        <w:r>
          <w:fldChar w:fldCharType="end"/>
        </w:r>
      </w:p>
    </w:sdtContent>
  </w:sdt>
  <w:p w14:paraId="55275795" w14:textId="77777777" w:rsidR="001162DD" w:rsidRPr="00D26ED9" w:rsidRDefault="001162DD" w:rsidP="00E916E2">
    <w:pPr>
      <w:pBdr>
        <w:top w:val="double" w:sz="4" w:space="0" w:color="auto"/>
      </w:pBdr>
      <w:tabs>
        <w:tab w:val="left" w:pos="709"/>
      </w:tabs>
      <w:spacing w:after="0" w:line="240" w:lineRule="auto"/>
      <w:ind w:right="360"/>
      <w:jc w:val="center"/>
      <w:rPr>
        <w:sz w:val="16"/>
        <w:szCs w:val="16"/>
      </w:rPr>
    </w:pPr>
    <w:r w:rsidRPr="00D26ED9">
      <w:rPr>
        <w:sz w:val="16"/>
        <w:szCs w:val="16"/>
      </w:rPr>
      <w:t>Av. Des. José Nunes da Cunha, Bloco IV, Parque dos Poderes, Campo Grande/MS, CEP 79.031-310</w:t>
    </w:r>
  </w:p>
  <w:p w14:paraId="6157CBF7" w14:textId="77777777" w:rsidR="001162DD" w:rsidRDefault="00AA18D2" w:rsidP="00E916E2">
    <w:pPr>
      <w:pStyle w:val="Rodap"/>
      <w:jc w:val="center"/>
    </w:pPr>
    <w:hyperlink r:id="rId1" w:history="1">
      <w:r w:rsidR="001162DD" w:rsidRPr="00D26ED9">
        <w:rPr>
          <w:color w:val="0000FF"/>
          <w:sz w:val="16"/>
          <w:szCs w:val="16"/>
          <w:u w:val="single"/>
        </w:rPr>
        <w:t>www.pge.ms.gov.br</w:t>
      </w:r>
    </w:hyperlink>
    <w:r w:rsidR="001162DD" w:rsidRPr="00D26ED9">
      <w:rPr>
        <w:sz w:val="16"/>
        <w:szCs w:val="16"/>
      </w:rPr>
      <w:tab/>
      <w:t>(67) 3318-2661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17E4B" w14:textId="77777777" w:rsidR="00AA18D2" w:rsidRDefault="00AA18D2" w:rsidP="00297F6B">
      <w:pPr>
        <w:spacing w:after="0" w:line="240" w:lineRule="auto"/>
      </w:pPr>
      <w:r>
        <w:separator/>
      </w:r>
    </w:p>
  </w:footnote>
  <w:footnote w:type="continuationSeparator" w:id="0">
    <w:p w14:paraId="120E7D8B" w14:textId="77777777" w:rsidR="00AA18D2" w:rsidRDefault="00AA18D2" w:rsidP="00297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4" w:space="0" w:color="auto"/>
        <w:insideV w:val="single" w:sz="4" w:space="0" w:color="auto"/>
      </w:tblBorders>
      <w:tblLook w:val="04A0" w:firstRow="1" w:lastRow="0" w:firstColumn="1" w:lastColumn="0" w:noHBand="0" w:noVBand="1"/>
    </w:tblPr>
    <w:tblGrid>
      <w:gridCol w:w="2552"/>
      <w:gridCol w:w="3118"/>
    </w:tblGrid>
    <w:tr w:rsidR="001162DD" w:rsidRPr="009440D1" w14:paraId="3F50BA57" w14:textId="77777777" w:rsidTr="00A2162E">
      <w:tc>
        <w:tcPr>
          <w:tcW w:w="2552" w:type="dxa"/>
          <w:tcBorders>
            <w:top w:val="nil"/>
            <w:left w:val="nil"/>
            <w:bottom w:val="nil"/>
            <w:right w:val="single" w:sz="4" w:space="0" w:color="auto"/>
          </w:tcBorders>
          <w:hideMark/>
        </w:tcPr>
        <w:p w14:paraId="36A3FEEC" w14:textId="77777777" w:rsidR="001162DD" w:rsidRPr="009440D1" w:rsidRDefault="001162DD" w:rsidP="00F44742">
          <w:pPr>
            <w:tabs>
              <w:tab w:val="center" w:pos="4419"/>
              <w:tab w:val="right" w:pos="8838"/>
            </w:tabs>
            <w:spacing w:after="0" w:line="240" w:lineRule="auto"/>
            <w:ind w:left="-249"/>
            <w:jc w:val="center"/>
            <w:rPr>
              <w:rFonts w:ascii="Bookman Old Style" w:eastAsia="Times New Roman" w:hAnsi="Bookman Old Style" w:cs="Times New Roman"/>
              <w:b/>
              <w:bCs/>
              <w:spacing w:val="46"/>
              <w:sz w:val="26"/>
              <w:szCs w:val="20"/>
              <w:lang w:val="x-none" w:eastAsia="pt-BR"/>
            </w:rPr>
          </w:pPr>
          <w:r w:rsidRPr="009440D1">
            <w:rPr>
              <w:rFonts w:ascii="Bookman Old Style" w:eastAsia="Times New Roman" w:hAnsi="Bookman Old Style" w:cs="Times New Roman"/>
              <w:b/>
              <w:noProof/>
              <w:spacing w:val="46"/>
              <w:sz w:val="26"/>
              <w:szCs w:val="20"/>
              <w:lang w:eastAsia="pt-BR"/>
            </w:rPr>
            <w:drawing>
              <wp:inline distT="0" distB="0" distL="0" distR="0" wp14:anchorId="2A1A36A8" wp14:editId="4AAF85DA">
                <wp:extent cx="1433015" cy="561975"/>
                <wp:effectExtent l="0" t="0" r="0" b="0"/>
                <wp:docPr id="1" name="Imagem 10"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473" cy="563331"/>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14:paraId="4C77637F" w14:textId="1400CE3B" w:rsidR="001162DD" w:rsidRPr="009440D1" w:rsidRDefault="001162DD" w:rsidP="00F44742">
          <w:pPr>
            <w:spacing w:after="0" w:line="240" w:lineRule="auto"/>
            <w:jc w:val="both"/>
            <w:rPr>
              <w:rFonts w:ascii="Calibri Light" w:eastAsia="Times New Roman" w:hAnsi="Calibri Light" w:cs="Calibri Light"/>
              <w:b/>
              <w:sz w:val="18"/>
              <w:szCs w:val="17"/>
              <w:lang w:eastAsia="pt-BR"/>
            </w:rPr>
          </w:pPr>
          <w:r w:rsidRPr="009440D1">
            <w:rPr>
              <w:rFonts w:ascii="Calibri Light" w:eastAsia="Times New Roman" w:hAnsi="Calibri Light" w:cs="Calibri Light"/>
              <w:b/>
              <w:sz w:val="18"/>
              <w:szCs w:val="17"/>
              <w:lang w:eastAsia="pt-BR"/>
            </w:rPr>
            <w:t>CJUR-</w:t>
          </w:r>
          <w:r>
            <w:rPr>
              <w:rFonts w:ascii="Calibri Light" w:eastAsia="Times New Roman" w:hAnsi="Calibri Light" w:cs="Calibri Light"/>
              <w:b/>
              <w:sz w:val="18"/>
              <w:szCs w:val="17"/>
              <w:lang w:eastAsia="pt-BR"/>
            </w:rPr>
            <w:t>SEL</w:t>
          </w:r>
        </w:p>
        <w:p w14:paraId="1B30EF15" w14:textId="4977D263" w:rsidR="001162DD" w:rsidRPr="009440D1" w:rsidRDefault="001162DD" w:rsidP="00F44742">
          <w:pPr>
            <w:spacing w:after="0" w:line="240" w:lineRule="auto"/>
            <w:jc w:val="both"/>
            <w:rPr>
              <w:rFonts w:ascii="Times New Roman" w:eastAsia="Times New Roman" w:hAnsi="Times New Roman" w:cs="Times New Roman"/>
              <w:sz w:val="18"/>
              <w:szCs w:val="17"/>
              <w:lang w:eastAsia="pt-BR"/>
            </w:rPr>
          </w:pPr>
          <w:r w:rsidRPr="009440D1">
            <w:rPr>
              <w:rFonts w:ascii="Calibri Light" w:eastAsia="Times New Roman" w:hAnsi="Calibri Light" w:cs="Calibri Light"/>
              <w:b/>
              <w:sz w:val="18"/>
              <w:szCs w:val="17"/>
              <w:lang w:eastAsia="pt-BR"/>
            </w:rPr>
            <w:t xml:space="preserve">Coordenadoria Jurídica da Procuradoria-Geral do Estado na </w:t>
          </w:r>
          <w:r>
            <w:rPr>
              <w:rFonts w:ascii="Calibri Light" w:eastAsia="Times New Roman" w:hAnsi="Calibri Light" w:cs="Calibri Light"/>
              <w:b/>
              <w:sz w:val="18"/>
              <w:szCs w:val="17"/>
              <w:lang w:eastAsia="pt-BR"/>
            </w:rPr>
            <w:t>Secretaria-Executiva de Licitação</w:t>
          </w:r>
        </w:p>
      </w:tc>
    </w:tr>
  </w:tbl>
  <w:p w14:paraId="170980E9" w14:textId="77777777" w:rsidR="001162DD" w:rsidRPr="009440D1" w:rsidRDefault="001162DD" w:rsidP="00F44742">
    <w:pPr>
      <w:pBdr>
        <w:bottom w:val="double" w:sz="4" w:space="1" w:color="auto"/>
      </w:pBdr>
      <w:tabs>
        <w:tab w:val="center" w:pos="4419"/>
        <w:tab w:val="center" w:pos="4536"/>
        <w:tab w:val="left" w:pos="6960"/>
        <w:tab w:val="right" w:pos="8838"/>
      </w:tabs>
      <w:spacing w:before="60" w:after="0" w:line="240" w:lineRule="auto"/>
      <w:jc w:val="both"/>
      <w:rPr>
        <w:rFonts w:ascii="Bookman Old Style" w:eastAsia="Times New Roman" w:hAnsi="Bookman Old Style" w:cs="Times New Roman"/>
        <w:b/>
        <w:spacing w:val="46"/>
        <w:sz w:val="28"/>
        <w:szCs w:val="20"/>
        <w:lang w:val="x-none" w:eastAsia="pt-BR"/>
      </w:rPr>
    </w:pPr>
    <w:r w:rsidRPr="009440D1">
      <w:rPr>
        <w:rFonts w:ascii="Bookman Old Style" w:eastAsia="Times New Roman" w:hAnsi="Bookman Old Style" w:cs="Times New Roman"/>
        <w:b/>
        <w:noProof/>
        <w:spacing w:val="46"/>
        <w:sz w:val="20"/>
        <w:szCs w:val="20"/>
        <w:lang w:eastAsia="pt-BR"/>
      </w:rPr>
      <mc:AlternateContent>
        <mc:Choice Requires="wps">
          <w:drawing>
            <wp:anchor distT="0" distB="0" distL="114300" distR="114300" simplePos="0" relativeHeight="251659264" behindDoc="0" locked="0" layoutInCell="1" allowOverlap="1" wp14:anchorId="4AAEC639" wp14:editId="2DF7643B">
              <wp:simplePos x="0" y="0"/>
              <wp:positionH relativeFrom="margin">
                <wp:posOffset>3800096</wp:posOffset>
              </wp:positionH>
              <wp:positionV relativeFrom="paragraph">
                <wp:posOffset>-569168</wp:posOffset>
              </wp:positionV>
              <wp:extent cx="2183130" cy="518160"/>
              <wp:effectExtent l="0" t="0" r="26670" b="22225"/>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518160"/>
                      </a:xfrm>
                      <a:prstGeom prst="rect">
                        <a:avLst/>
                      </a:prstGeom>
                      <a:solidFill>
                        <a:srgbClr val="FFFFFF"/>
                      </a:solidFill>
                      <a:ln w="9525">
                        <a:solidFill>
                          <a:srgbClr val="000000"/>
                        </a:solidFill>
                        <a:miter lim="800000"/>
                        <a:headEnd/>
                        <a:tailEnd/>
                      </a:ln>
                    </wps:spPr>
                    <wps:txbx>
                      <w:txbxContent>
                        <w:p w14:paraId="07A2A32B" w14:textId="7904FDA3" w:rsidR="001162DD" w:rsidRPr="00F1547B" w:rsidRDefault="001162DD" w:rsidP="00F44742">
                          <w:pPr>
                            <w:rPr>
                              <w:rFonts w:ascii="Calibri" w:hAnsi="Calibri"/>
                              <w:sz w:val="16"/>
                              <w:szCs w:val="16"/>
                            </w:rPr>
                          </w:pPr>
                          <w:r w:rsidRPr="00F1547B">
                            <w:rPr>
                              <w:rFonts w:ascii="Calibri" w:hAnsi="Calibri"/>
                              <w:b/>
                              <w:bCs/>
                              <w:sz w:val="16"/>
                              <w:szCs w:val="16"/>
                            </w:rPr>
                            <w:t xml:space="preserve">Proc. Administrativo n. </w:t>
                          </w:r>
                          <w:r>
                            <w:rPr>
                              <w:rFonts w:ascii="Calibri" w:hAnsi="Calibri"/>
                              <w:b/>
                              <w:bCs/>
                              <w:sz w:val="16"/>
                              <w:szCs w:val="16"/>
                            </w:rPr>
                            <w:t>15.000.927/2023</w:t>
                          </w:r>
                          <w:r w:rsidRPr="00F1547B">
                            <w:rPr>
                              <w:rFonts w:ascii="Calibri" w:hAnsi="Calibri"/>
                              <w:sz w:val="16"/>
                              <w:szCs w:val="16"/>
                            </w:rPr>
                            <w:t xml:space="preserve"> </w:t>
                          </w:r>
                          <w:r w:rsidRPr="00F1547B">
                            <w:rPr>
                              <w:rFonts w:ascii="Calibri" w:hAnsi="Calibri"/>
                              <w:b/>
                              <w:sz w:val="16"/>
                              <w:szCs w:val="16"/>
                            </w:rPr>
                            <w:t xml:space="preserve"> F.</w:t>
                          </w:r>
                        </w:p>
                        <w:p w14:paraId="055A5189" w14:textId="2AF79733" w:rsidR="001162DD" w:rsidRPr="00F1547B" w:rsidRDefault="001162DD" w:rsidP="00F44742">
                          <w:pPr>
                            <w:spacing w:line="360" w:lineRule="auto"/>
                            <w:rPr>
                              <w:rFonts w:ascii="Calibri" w:hAnsi="Calibri"/>
                              <w:sz w:val="16"/>
                              <w:szCs w:val="16"/>
                            </w:rPr>
                          </w:pPr>
                          <w:r w:rsidRPr="00F1547B">
                            <w:rPr>
                              <w:rFonts w:ascii="Calibri" w:hAnsi="Calibri"/>
                              <w:b/>
                              <w:bCs/>
                              <w:sz w:val="16"/>
                              <w:szCs w:val="16"/>
                            </w:rPr>
                            <w:t xml:space="preserve">Data: </w:t>
                          </w:r>
                          <w:r>
                            <w:rPr>
                              <w:rFonts w:ascii="Calibri" w:hAnsi="Calibri"/>
                              <w:b/>
                              <w:bCs/>
                              <w:sz w:val="16"/>
                              <w:szCs w:val="16"/>
                            </w:rPr>
                            <w:t>30/03/2023</w:t>
                          </w:r>
                          <w:r w:rsidRPr="00F1547B">
                            <w:rPr>
                              <w:rFonts w:ascii="Calibri" w:hAnsi="Calibri"/>
                              <w:b/>
                              <w:bCs/>
                              <w:sz w:val="16"/>
                              <w:szCs w:val="16"/>
                            </w:rPr>
                            <w:t xml:space="preserve">   Rubrica: </w:t>
                          </w:r>
                        </w:p>
                      </w:txbxContent>
                    </wps:txbx>
                    <wps:bodyPr rot="0" vert="horz" wrap="square" lIns="91440" tIns="10800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AEC639" id="Retângulo 4" o:spid="_x0000_s1026" style="position:absolute;left:0;text-align:left;margin-left:299.2pt;margin-top:-44.8pt;width:171.9pt;height:4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">
              <v:textbox style="mso-fit-shape-to-text:t" inset=",3mm">
                <w:txbxContent>
                  <w:p w14:paraId="07A2A32B" w14:textId="7904FDA3" w:rsidR="001162DD" w:rsidRPr="00F1547B" w:rsidRDefault="001162DD" w:rsidP="00F44742">
                    <w:pPr>
                      <w:rPr>
                        <w:rFonts w:ascii="Calibri" w:hAnsi="Calibri"/>
                        <w:sz w:val="16"/>
                        <w:szCs w:val="16"/>
                      </w:rPr>
                    </w:pPr>
                    <w:r w:rsidRPr="00F1547B">
                      <w:rPr>
                        <w:rFonts w:ascii="Calibri" w:hAnsi="Calibri"/>
                        <w:b/>
                        <w:bCs/>
                        <w:sz w:val="16"/>
                        <w:szCs w:val="16"/>
                      </w:rPr>
                      <w:t xml:space="preserve">Proc. Administrativo n. </w:t>
                    </w:r>
                    <w:r>
                      <w:rPr>
                        <w:rFonts w:ascii="Calibri" w:hAnsi="Calibri"/>
                        <w:b/>
                        <w:bCs/>
                        <w:sz w:val="16"/>
                        <w:szCs w:val="16"/>
                      </w:rPr>
                      <w:t>15.000.927/</w:t>
                    </w:r>
                    <w:proofErr w:type="gramStart"/>
                    <w:r>
                      <w:rPr>
                        <w:rFonts w:ascii="Calibri" w:hAnsi="Calibri"/>
                        <w:b/>
                        <w:bCs/>
                        <w:sz w:val="16"/>
                        <w:szCs w:val="16"/>
                      </w:rPr>
                      <w:t>2023</w:t>
                    </w:r>
                    <w:r w:rsidRPr="00F1547B">
                      <w:rPr>
                        <w:rFonts w:ascii="Calibri" w:hAnsi="Calibri"/>
                        <w:sz w:val="16"/>
                        <w:szCs w:val="16"/>
                      </w:rPr>
                      <w:t xml:space="preserve"> </w:t>
                    </w:r>
                    <w:r w:rsidRPr="00F1547B">
                      <w:rPr>
                        <w:rFonts w:ascii="Calibri" w:hAnsi="Calibri"/>
                        <w:b/>
                        <w:sz w:val="16"/>
                        <w:szCs w:val="16"/>
                      </w:rPr>
                      <w:t xml:space="preserve"> F.</w:t>
                    </w:r>
                    <w:proofErr w:type="gramEnd"/>
                  </w:p>
                  <w:p w14:paraId="055A5189" w14:textId="2AF79733" w:rsidR="001162DD" w:rsidRPr="00F1547B" w:rsidRDefault="001162DD" w:rsidP="00F44742">
                    <w:pPr>
                      <w:spacing w:line="360" w:lineRule="auto"/>
                      <w:rPr>
                        <w:rFonts w:ascii="Calibri" w:hAnsi="Calibri"/>
                        <w:sz w:val="16"/>
                        <w:szCs w:val="16"/>
                      </w:rPr>
                    </w:pPr>
                    <w:r w:rsidRPr="00F1547B">
                      <w:rPr>
                        <w:rFonts w:ascii="Calibri" w:hAnsi="Calibri"/>
                        <w:b/>
                        <w:bCs/>
                        <w:sz w:val="16"/>
                        <w:szCs w:val="16"/>
                      </w:rPr>
                      <w:t xml:space="preserve">Data: </w:t>
                    </w:r>
                    <w:r>
                      <w:rPr>
                        <w:rFonts w:ascii="Calibri" w:hAnsi="Calibri"/>
                        <w:b/>
                        <w:bCs/>
                        <w:sz w:val="16"/>
                        <w:szCs w:val="16"/>
                      </w:rPr>
                      <w:t>30/03/2023</w:t>
                    </w:r>
                    <w:r w:rsidRPr="00F1547B">
                      <w:rPr>
                        <w:rFonts w:ascii="Calibri" w:hAnsi="Calibri"/>
                        <w:b/>
                        <w:bCs/>
                        <w:sz w:val="16"/>
                        <w:szCs w:val="16"/>
                      </w:rPr>
                      <w:t xml:space="preserve">   Rubrica: </w:t>
                    </w:r>
                  </w:p>
                </w:txbxContent>
              </v:textbox>
              <w10:wrap anchorx="margin"/>
            </v:rect>
          </w:pict>
        </mc:Fallback>
      </mc:AlternateContent>
    </w:r>
  </w:p>
  <w:p w14:paraId="62A3344C" w14:textId="77777777" w:rsidR="001162DD" w:rsidRDefault="001162DD" w:rsidP="00F44742">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86C"/>
    <w:multiLevelType w:val="multilevel"/>
    <w:tmpl w:val="F1C01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5968DD"/>
    <w:multiLevelType w:val="hybridMultilevel"/>
    <w:tmpl w:val="CA20B706"/>
    <w:lvl w:ilvl="0" w:tplc="C308B73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15:restartNumberingAfterBreak="0">
    <w:nsid w:val="08751D2C"/>
    <w:multiLevelType w:val="hybridMultilevel"/>
    <w:tmpl w:val="595213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977BB7"/>
    <w:multiLevelType w:val="hybridMultilevel"/>
    <w:tmpl w:val="E4AA085A"/>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15:restartNumberingAfterBreak="0">
    <w:nsid w:val="0DB174D6"/>
    <w:multiLevelType w:val="hybridMultilevel"/>
    <w:tmpl w:val="650AB72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10E671FC"/>
    <w:multiLevelType w:val="hybridMultilevel"/>
    <w:tmpl w:val="3A5682B8"/>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6" w15:restartNumberingAfterBreak="0">
    <w:nsid w:val="11201EF7"/>
    <w:multiLevelType w:val="hybridMultilevel"/>
    <w:tmpl w:val="27E6175A"/>
    <w:lvl w:ilvl="0" w:tplc="2AB6E90C">
      <w:start w:val="1"/>
      <w:numFmt w:val="lowerRoman"/>
      <w:lvlText w:val="(%1)"/>
      <w:lvlJc w:val="left"/>
      <w:pPr>
        <w:ind w:left="3204" w:hanging="720"/>
      </w:pPr>
      <w:rPr>
        <w:rFonts w:hint="default"/>
      </w:r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abstractNum w:abstractNumId="7" w15:restartNumberingAfterBreak="0">
    <w:nsid w:val="169A3F0A"/>
    <w:multiLevelType w:val="hybridMultilevel"/>
    <w:tmpl w:val="95F0C7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012F5E"/>
    <w:multiLevelType w:val="hybridMultilevel"/>
    <w:tmpl w:val="D97E4CE6"/>
    <w:lvl w:ilvl="0" w:tplc="D280F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802BB5"/>
    <w:multiLevelType w:val="hybridMultilevel"/>
    <w:tmpl w:val="FBDCD096"/>
    <w:lvl w:ilvl="0" w:tplc="72E647EE">
      <w:start w:val="1"/>
      <w:numFmt w:val="lowerLetter"/>
      <w:lvlText w:val="%1)"/>
      <w:lvlJc w:val="left"/>
      <w:pPr>
        <w:ind w:left="2061" w:hanging="360"/>
      </w:pPr>
      <w:rPr>
        <w:rFonts w:hint="default"/>
        <w:color w:val="BC0472"/>
        <w:sz w:val="22"/>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15:restartNumberingAfterBreak="0">
    <w:nsid w:val="26541C85"/>
    <w:multiLevelType w:val="hybridMultilevel"/>
    <w:tmpl w:val="C6BA7424"/>
    <w:lvl w:ilvl="0" w:tplc="D280F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B82A6C"/>
    <w:multiLevelType w:val="hybridMultilevel"/>
    <w:tmpl w:val="B2145368"/>
    <w:lvl w:ilvl="0" w:tplc="0292DAD4">
      <w:start w:val="1"/>
      <w:numFmt w:val="lowerLetter"/>
      <w:lvlText w:val="%1)"/>
      <w:lvlJc w:val="left"/>
      <w:pPr>
        <w:ind w:left="720" w:hanging="360"/>
      </w:pPr>
      <w:rPr>
        <w:color w:val="FF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2C6739F3"/>
    <w:multiLevelType w:val="hybridMultilevel"/>
    <w:tmpl w:val="A61C31A2"/>
    <w:lvl w:ilvl="0" w:tplc="0416000D">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3" w15:restartNumberingAfterBreak="0">
    <w:nsid w:val="2C84021B"/>
    <w:multiLevelType w:val="hybridMultilevel"/>
    <w:tmpl w:val="E54C4E9C"/>
    <w:lvl w:ilvl="0" w:tplc="5AFCD64E">
      <w:start w:val="1"/>
      <w:numFmt w:val="decimal"/>
      <w:lvlText w:val="(%1)"/>
      <w:lvlJc w:val="left"/>
      <w:pPr>
        <w:ind w:left="2136" w:hanging="435"/>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4" w15:restartNumberingAfterBreak="0">
    <w:nsid w:val="332F538E"/>
    <w:multiLevelType w:val="hybridMultilevel"/>
    <w:tmpl w:val="625A6FD8"/>
    <w:lvl w:ilvl="0" w:tplc="04160017">
      <w:start w:val="1"/>
      <w:numFmt w:val="lowerLetter"/>
      <w:lvlText w:val="%1)"/>
      <w:lvlJc w:val="left"/>
      <w:pPr>
        <w:ind w:left="-272" w:hanging="360"/>
      </w:pPr>
    </w:lvl>
    <w:lvl w:ilvl="1" w:tplc="04160019" w:tentative="1">
      <w:start w:val="1"/>
      <w:numFmt w:val="lowerLetter"/>
      <w:lvlText w:val="%2."/>
      <w:lvlJc w:val="left"/>
      <w:pPr>
        <w:ind w:left="448" w:hanging="360"/>
      </w:pPr>
    </w:lvl>
    <w:lvl w:ilvl="2" w:tplc="0416001B" w:tentative="1">
      <w:start w:val="1"/>
      <w:numFmt w:val="lowerRoman"/>
      <w:lvlText w:val="%3."/>
      <w:lvlJc w:val="right"/>
      <w:pPr>
        <w:ind w:left="1168" w:hanging="180"/>
      </w:pPr>
    </w:lvl>
    <w:lvl w:ilvl="3" w:tplc="0416000F" w:tentative="1">
      <w:start w:val="1"/>
      <w:numFmt w:val="decimal"/>
      <w:lvlText w:val="%4."/>
      <w:lvlJc w:val="left"/>
      <w:pPr>
        <w:ind w:left="1888" w:hanging="360"/>
      </w:pPr>
    </w:lvl>
    <w:lvl w:ilvl="4" w:tplc="04160019" w:tentative="1">
      <w:start w:val="1"/>
      <w:numFmt w:val="lowerLetter"/>
      <w:lvlText w:val="%5."/>
      <w:lvlJc w:val="left"/>
      <w:pPr>
        <w:ind w:left="2608" w:hanging="360"/>
      </w:pPr>
    </w:lvl>
    <w:lvl w:ilvl="5" w:tplc="0416001B" w:tentative="1">
      <w:start w:val="1"/>
      <w:numFmt w:val="lowerRoman"/>
      <w:lvlText w:val="%6."/>
      <w:lvlJc w:val="right"/>
      <w:pPr>
        <w:ind w:left="3328" w:hanging="180"/>
      </w:pPr>
    </w:lvl>
    <w:lvl w:ilvl="6" w:tplc="0416000F" w:tentative="1">
      <w:start w:val="1"/>
      <w:numFmt w:val="decimal"/>
      <w:lvlText w:val="%7."/>
      <w:lvlJc w:val="left"/>
      <w:pPr>
        <w:ind w:left="4048" w:hanging="360"/>
      </w:pPr>
    </w:lvl>
    <w:lvl w:ilvl="7" w:tplc="04160019" w:tentative="1">
      <w:start w:val="1"/>
      <w:numFmt w:val="lowerLetter"/>
      <w:lvlText w:val="%8."/>
      <w:lvlJc w:val="left"/>
      <w:pPr>
        <w:ind w:left="4768" w:hanging="360"/>
      </w:pPr>
    </w:lvl>
    <w:lvl w:ilvl="8" w:tplc="0416001B" w:tentative="1">
      <w:start w:val="1"/>
      <w:numFmt w:val="lowerRoman"/>
      <w:lvlText w:val="%9."/>
      <w:lvlJc w:val="right"/>
      <w:pPr>
        <w:ind w:left="5488" w:hanging="180"/>
      </w:pPr>
    </w:lvl>
  </w:abstractNum>
  <w:abstractNum w:abstractNumId="15" w15:restartNumberingAfterBreak="0">
    <w:nsid w:val="363A7E2A"/>
    <w:multiLevelType w:val="hybridMultilevel"/>
    <w:tmpl w:val="E42030FE"/>
    <w:lvl w:ilvl="0" w:tplc="E5C8BD4C">
      <w:start w:val="1"/>
      <w:numFmt w:val="lowerRoman"/>
      <w:lvlText w:val="(%1)"/>
      <w:lvlJc w:val="left"/>
      <w:pPr>
        <w:ind w:left="1920" w:hanging="360"/>
      </w:pPr>
      <w:rPr>
        <w:rFonts w:ascii="Times New Roman" w:eastAsia="Times New Roman" w:hAnsi="Times New Roman" w:cs="Times New Roman"/>
      </w:rPr>
    </w:lvl>
    <w:lvl w:ilvl="1" w:tplc="04160019">
      <w:start w:val="1"/>
      <w:numFmt w:val="lowerLetter"/>
      <w:lvlText w:val="%2."/>
      <w:lvlJc w:val="left"/>
      <w:pPr>
        <w:ind w:left="2781" w:hanging="360"/>
      </w:pPr>
    </w:lvl>
    <w:lvl w:ilvl="2" w:tplc="0416001B">
      <w:start w:val="1"/>
      <w:numFmt w:val="lowerRoman"/>
      <w:lvlText w:val="%3."/>
      <w:lvlJc w:val="right"/>
      <w:pPr>
        <w:ind w:left="3501" w:hanging="180"/>
      </w:pPr>
    </w:lvl>
    <w:lvl w:ilvl="3" w:tplc="0416000F">
      <w:start w:val="1"/>
      <w:numFmt w:val="decimal"/>
      <w:lvlText w:val="%4."/>
      <w:lvlJc w:val="left"/>
      <w:pPr>
        <w:ind w:left="4221" w:hanging="360"/>
      </w:pPr>
    </w:lvl>
    <w:lvl w:ilvl="4" w:tplc="04160019">
      <w:start w:val="1"/>
      <w:numFmt w:val="lowerLetter"/>
      <w:lvlText w:val="%5."/>
      <w:lvlJc w:val="left"/>
      <w:pPr>
        <w:ind w:left="4941" w:hanging="360"/>
      </w:pPr>
    </w:lvl>
    <w:lvl w:ilvl="5" w:tplc="0416001B">
      <w:start w:val="1"/>
      <w:numFmt w:val="lowerRoman"/>
      <w:lvlText w:val="%6."/>
      <w:lvlJc w:val="right"/>
      <w:pPr>
        <w:ind w:left="5661" w:hanging="180"/>
      </w:pPr>
    </w:lvl>
    <w:lvl w:ilvl="6" w:tplc="0416000F">
      <w:start w:val="1"/>
      <w:numFmt w:val="decimal"/>
      <w:lvlText w:val="%7."/>
      <w:lvlJc w:val="left"/>
      <w:pPr>
        <w:ind w:left="6381" w:hanging="360"/>
      </w:pPr>
    </w:lvl>
    <w:lvl w:ilvl="7" w:tplc="04160019">
      <w:start w:val="1"/>
      <w:numFmt w:val="lowerLetter"/>
      <w:lvlText w:val="%8."/>
      <w:lvlJc w:val="left"/>
      <w:pPr>
        <w:ind w:left="7101" w:hanging="360"/>
      </w:pPr>
    </w:lvl>
    <w:lvl w:ilvl="8" w:tplc="0416001B">
      <w:start w:val="1"/>
      <w:numFmt w:val="lowerRoman"/>
      <w:lvlText w:val="%9."/>
      <w:lvlJc w:val="right"/>
      <w:pPr>
        <w:ind w:left="7821" w:hanging="180"/>
      </w:pPr>
    </w:lvl>
  </w:abstractNum>
  <w:abstractNum w:abstractNumId="16" w15:restartNumberingAfterBreak="0">
    <w:nsid w:val="38984BCA"/>
    <w:multiLevelType w:val="hybridMultilevel"/>
    <w:tmpl w:val="AF827D1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395951FB"/>
    <w:multiLevelType w:val="hybridMultilevel"/>
    <w:tmpl w:val="AFD62778"/>
    <w:lvl w:ilvl="0" w:tplc="0416000F">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18" w15:restartNumberingAfterBreak="0">
    <w:nsid w:val="3E65707E"/>
    <w:multiLevelType w:val="hybridMultilevel"/>
    <w:tmpl w:val="5E02E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EB44837"/>
    <w:multiLevelType w:val="hybridMultilevel"/>
    <w:tmpl w:val="BEBA8A40"/>
    <w:lvl w:ilvl="0" w:tplc="EE4C7C4A">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0" w15:restartNumberingAfterBreak="0">
    <w:nsid w:val="41BB58F0"/>
    <w:multiLevelType w:val="hybridMultilevel"/>
    <w:tmpl w:val="692EA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3A1499D"/>
    <w:multiLevelType w:val="hybridMultilevel"/>
    <w:tmpl w:val="92707D54"/>
    <w:lvl w:ilvl="0" w:tplc="D280F05A">
      <w:start w:val="1"/>
      <w:numFmt w:val="decimal"/>
      <w:lvlText w:val="%1."/>
      <w:lvlJc w:val="left"/>
      <w:pPr>
        <w:ind w:left="1060" w:hanging="360"/>
      </w:pPr>
      <w:rPr>
        <w:rFonts w:hint="default"/>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22" w15:restartNumberingAfterBreak="0">
    <w:nsid w:val="44CA3E28"/>
    <w:multiLevelType w:val="hybridMultilevel"/>
    <w:tmpl w:val="1D3E5130"/>
    <w:lvl w:ilvl="0" w:tplc="F246F9B8">
      <w:start w:val="1"/>
      <w:numFmt w:val="upperRoman"/>
      <w:pStyle w:val="ListaAGU"/>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8425E1C"/>
    <w:multiLevelType w:val="hybridMultilevel"/>
    <w:tmpl w:val="5502AB0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4" w15:restartNumberingAfterBreak="0">
    <w:nsid w:val="48A65A62"/>
    <w:multiLevelType w:val="hybridMultilevel"/>
    <w:tmpl w:val="C3F66F32"/>
    <w:lvl w:ilvl="0" w:tplc="FC9229C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5" w15:restartNumberingAfterBreak="0">
    <w:nsid w:val="4AB847D7"/>
    <w:multiLevelType w:val="hybridMultilevel"/>
    <w:tmpl w:val="7EFE4870"/>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6" w15:restartNumberingAfterBreak="0">
    <w:nsid w:val="4D1A1A54"/>
    <w:multiLevelType w:val="hybridMultilevel"/>
    <w:tmpl w:val="8E3E51E4"/>
    <w:lvl w:ilvl="0" w:tplc="04160013">
      <w:start w:val="1"/>
      <w:numFmt w:val="upperRoman"/>
      <w:lvlText w:val="%1."/>
      <w:lvlJc w:val="righ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7" w15:restartNumberingAfterBreak="0">
    <w:nsid w:val="514F09C2"/>
    <w:multiLevelType w:val="hybridMultilevel"/>
    <w:tmpl w:val="08FAB432"/>
    <w:lvl w:ilvl="0" w:tplc="D48A524E">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7C4AD5"/>
    <w:multiLevelType w:val="hybridMultilevel"/>
    <w:tmpl w:val="C436D6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3385435"/>
    <w:multiLevelType w:val="hybridMultilevel"/>
    <w:tmpl w:val="BD6EE016"/>
    <w:lvl w:ilvl="0" w:tplc="4436624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5F722CC"/>
    <w:multiLevelType w:val="hybridMultilevel"/>
    <w:tmpl w:val="3274E6E8"/>
    <w:lvl w:ilvl="0" w:tplc="D280F05A">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1" w15:restartNumberingAfterBreak="0">
    <w:nsid w:val="56F35E61"/>
    <w:multiLevelType w:val="hybridMultilevel"/>
    <w:tmpl w:val="F718ECAA"/>
    <w:lvl w:ilvl="0" w:tplc="71AEBD54">
      <w:start w:val="1"/>
      <w:numFmt w:val="decimal"/>
      <w:lvlText w:val="%1)"/>
      <w:lvlJc w:val="left"/>
      <w:pPr>
        <w:ind w:left="2062"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2" w15:restartNumberingAfterBreak="0">
    <w:nsid w:val="57FA5AB8"/>
    <w:multiLevelType w:val="hybridMultilevel"/>
    <w:tmpl w:val="AF827D1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3" w15:restartNumberingAfterBreak="0">
    <w:nsid w:val="62F634B0"/>
    <w:multiLevelType w:val="hybridMultilevel"/>
    <w:tmpl w:val="E8ACCA7C"/>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4" w15:restartNumberingAfterBreak="0">
    <w:nsid w:val="69470FA1"/>
    <w:multiLevelType w:val="hybridMultilevel"/>
    <w:tmpl w:val="A1B043FA"/>
    <w:lvl w:ilvl="0" w:tplc="0416000B">
      <w:start w:val="1"/>
      <w:numFmt w:val="bullet"/>
      <w:lvlText w:val=""/>
      <w:lvlJc w:val="left"/>
      <w:pPr>
        <w:ind w:left="2421" w:hanging="360"/>
      </w:pPr>
      <w:rPr>
        <w:rFonts w:ascii="Wingdings" w:hAnsi="Wingdings"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5" w15:restartNumberingAfterBreak="0">
    <w:nsid w:val="6AD36929"/>
    <w:multiLevelType w:val="multilevel"/>
    <w:tmpl w:val="B9C664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18E16BE"/>
    <w:multiLevelType w:val="hybridMultilevel"/>
    <w:tmpl w:val="33BE82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66375F4"/>
    <w:multiLevelType w:val="multilevel"/>
    <w:tmpl w:val="B9C664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B82969"/>
    <w:multiLevelType w:val="hybridMultilevel"/>
    <w:tmpl w:val="DB50167C"/>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9" w15:restartNumberingAfterBreak="0">
    <w:nsid w:val="78B04478"/>
    <w:multiLevelType w:val="multilevel"/>
    <w:tmpl w:val="F4B8F5C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BE421E"/>
    <w:multiLevelType w:val="hybridMultilevel"/>
    <w:tmpl w:val="91586232"/>
    <w:lvl w:ilvl="0" w:tplc="D280F05A">
      <w:start w:val="1"/>
      <w:numFmt w:val="decimal"/>
      <w:lvlText w:val="%1."/>
      <w:lvlJc w:val="left"/>
      <w:pPr>
        <w:ind w:left="780" w:hanging="360"/>
      </w:pPr>
      <w:rPr>
        <w:rFonts w:hint="default"/>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41" w15:restartNumberingAfterBreak="0">
    <w:nsid w:val="7F2C15E0"/>
    <w:multiLevelType w:val="hybridMultilevel"/>
    <w:tmpl w:val="79622234"/>
    <w:lvl w:ilvl="0" w:tplc="6872438A">
      <w:start w:val="1"/>
      <w:numFmt w:val="lowerLetter"/>
      <w:lvlText w:val="%1)"/>
      <w:lvlJc w:val="left"/>
      <w:pPr>
        <w:ind w:left="720" w:hanging="360"/>
      </w:pPr>
      <w:rPr>
        <w:rFonts w:ascii="Times New Roman" w:eastAsia="Times New Roman" w:hAnsi="Times New Roman" w:cs="Times New Roman"/>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2" w15:restartNumberingAfterBreak="0">
    <w:nsid w:val="7FDD1218"/>
    <w:multiLevelType w:val="hybridMultilevel"/>
    <w:tmpl w:val="C0FC194A"/>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2"/>
  </w:num>
  <w:num w:numId="2">
    <w:abstractNumId w:val="35"/>
  </w:num>
  <w:num w:numId="3">
    <w:abstractNumId w:val="20"/>
  </w:num>
  <w:num w:numId="4">
    <w:abstractNumId w:val="9"/>
  </w:num>
  <w:num w:numId="5">
    <w:abstractNumId w:val="37"/>
  </w:num>
  <w:num w:numId="6">
    <w:abstractNumId w:val="24"/>
  </w:num>
  <w:num w:numId="7">
    <w:abstractNumId w:val="1"/>
  </w:num>
  <w:num w:numId="8">
    <w:abstractNumId w:val="19"/>
  </w:num>
  <w:num w:numId="9">
    <w:abstractNumId w:val="6"/>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3"/>
  </w:num>
  <w:num w:numId="14">
    <w:abstractNumId w:val="18"/>
  </w:num>
  <w:num w:numId="15">
    <w:abstractNumId w:val="34"/>
  </w:num>
  <w:num w:numId="16">
    <w:abstractNumId w:val="31"/>
  </w:num>
  <w:num w:numId="17">
    <w:abstractNumId w:val="28"/>
  </w:num>
  <w:num w:numId="18">
    <w:abstractNumId w:val="10"/>
  </w:num>
  <w:num w:numId="19">
    <w:abstractNumId w:val="8"/>
  </w:num>
  <w:num w:numId="20">
    <w:abstractNumId w:val="30"/>
  </w:num>
  <w:num w:numId="21">
    <w:abstractNumId w:val="21"/>
  </w:num>
  <w:num w:numId="22">
    <w:abstractNumId w:val="40"/>
  </w:num>
  <w:num w:numId="23">
    <w:abstractNumId w:val="39"/>
  </w:num>
  <w:num w:numId="24">
    <w:abstractNumId w:val="14"/>
  </w:num>
  <w:num w:numId="25">
    <w:abstractNumId w:val="2"/>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7"/>
  </w:num>
  <w:num w:numId="29">
    <w:abstractNumId w:val="36"/>
  </w:num>
  <w:num w:numId="30">
    <w:abstractNumId w:val="17"/>
  </w:num>
  <w:num w:numId="31">
    <w:abstractNumId w:val="13"/>
  </w:num>
  <w:num w:numId="32">
    <w:abstractNumId w:val="5"/>
  </w:num>
  <w:num w:numId="33">
    <w:abstractNumId w:val="26"/>
  </w:num>
  <w:num w:numId="34">
    <w:abstractNumId w:val="12"/>
  </w:num>
  <w:num w:numId="35">
    <w:abstractNumId w:val="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4"/>
  </w:num>
  <w:num w:numId="39">
    <w:abstractNumId w:val="38"/>
  </w:num>
  <w:num w:numId="40">
    <w:abstractNumId w:val="16"/>
  </w:num>
  <w:num w:numId="41">
    <w:abstractNumId w:val="29"/>
  </w:num>
  <w:num w:numId="42">
    <w:abstractNumId w:val="22"/>
  </w:num>
  <w:num w:numId="43">
    <w:abstractNumId w:val="22"/>
    <w:lvlOverride w:ilvl="0">
      <w:startOverride w:val="1"/>
    </w:lvlOverride>
  </w:num>
  <w:num w:numId="44">
    <w:abstractNumId w:val="3"/>
  </w:num>
  <w:num w:numId="45">
    <w:abstractNumId w:val="32"/>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0C"/>
    <w:rsid w:val="00001911"/>
    <w:rsid w:val="00006FB2"/>
    <w:rsid w:val="0001155B"/>
    <w:rsid w:val="00020519"/>
    <w:rsid w:val="000241B8"/>
    <w:rsid w:val="00024465"/>
    <w:rsid w:val="000272D3"/>
    <w:rsid w:val="00027F99"/>
    <w:rsid w:val="000305C5"/>
    <w:rsid w:val="00031B26"/>
    <w:rsid w:val="00032B97"/>
    <w:rsid w:val="00034B99"/>
    <w:rsid w:val="00034BB9"/>
    <w:rsid w:val="00036E5A"/>
    <w:rsid w:val="000405F1"/>
    <w:rsid w:val="00040A61"/>
    <w:rsid w:val="0004223C"/>
    <w:rsid w:val="000462D6"/>
    <w:rsid w:val="000509D3"/>
    <w:rsid w:val="000518B0"/>
    <w:rsid w:val="0005202E"/>
    <w:rsid w:val="00052E1E"/>
    <w:rsid w:val="0005333A"/>
    <w:rsid w:val="00055F94"/>
    <w:rsid w:val="00056D29"/>
    <w:rsid w:val="00062DE4"/>
    <w:rsid w:val="00065C00"/>
    <w:rsid w:val="00066B61"/>
    <w:rsid w:val="00066E11"/>
    <w:rsid w:val="00067AA0"/>
    <w:rsid w:val="00073EF9"/>
    <w:rsid w:val="00076CC2"/>
    <w:rsid w:val="000774BF"/>
    <w:rsid w:val="00081836"/>
    <w:rsid w:val="00081CFA"/>
    <w:rsid w:val="000823F0"/>
    <w:rsid w:val="0008326D"/>
    <w:rsid w:val="000841D3"/>
    <w:rsid w:val="00084F53"/>
    <w:rsid w:val="0008507D"/>
    <w:rsid w:val="000860A5"/>
    <w:rsid w:val="00087257"/>
    <w:rsid w:val="00087D68"/>
    <w:rsid w:val="00090552"/>
    <w:rsid w:val="00090BDE"/>
    <w:rsid w:val="00090D24"/>
    <w:rsid w:val="000915DE"/>
    <w:rsid w:val="0009486E"/>
    <w:rsid w:val="00096AEA"/>
    <w:rsid w:val="00096E05"/>
    <w:rsid w:val="000A2E0B"/>
    <w:rsid w:val="000A326E"/>
    <w:rsid w:val="000A51B8"/>
    <w:rsid w:val="000A7B35"/>
    <w:rsid w:val="000A7F00"/>
    <w:rsid w:val="000B2AEB"/>
    <w:rsid w:val="000B5703"/>
    <w:rsid w:val="000C07A6"/>
    <w:rsid w:val="000C0EC3"/>
    <w:rsid w:val="000C38A3"/>
    <w:rsid w:val="000C70B5"/>
    <w:rsid w:val="000D57A7"/>
    <w:rsid w:val="000D5FD7"/>
    <w:rsid w:val="000E1B22"/>
    <w:rsid w:val="000E307C"/>
    <w:rsid w:val="000E3281"/>
    <w:rsid w:val="000E3795"/>
    <w:rsid w:val="000E3F78"/>
    <w:rsid w:val="000E509E"/>
    <w:rsid w:val="000E52DB"/>
    <w:rsid w:val="000F1987"/>
    <w:rsid w:val="000F32C0"/>
    <w:rsid w:val="000F3CEC"/>
    <w:rsid w:val="00100FAC"/>
    <w:rsid w:val="001029C9"/>
    <w:rsid w:val="00103DE9"/>
    <w:rsid w:val="00103DEC"/>
    <w:rsid w:val="00104154"/>
    <w:rsid w:val="0010462C"/>
    <w:rsid w:val="00105C9E"/>
    <w:rsid w:val="00110381"/>
    <w:rsid w:val="001149BE"/>
    <w:rsid w:val="00114B73"/>
    <w:rsid w:val="00114DBF"/>
    <w:rsid w:val="001162DD"/>
    <w:rsid w:val="001213E3"/>
    <w:rsid w:val="00125C08"/>
    <w:rsid w:val="00130880"/>
    <w:rsid w:val="0013138C"/>
    <w:rsid w:val="00133BBB"/>
    <w:rsid w:val="00134B38"/>
    <w:rsid w:val="00135AAE"/>
    <w:rsid w:val="00136189"/>
    <w:rsid w:val="00136FA0"/>
    <w:rsid w:val="00141443"/>
    <w:rsid w:val="00142FF8"/>
    <w:rsid w:val="0014457A"/>
    <w:rsid w:val="001446CC"/>
    <w:rsid w:val="00144B06"/>
    <w:rsid w:val="00146259"/>
    <w:rsid w:val="0015116E"/>
    <w:rsid w:val="00151656"/>
    <w:rsid w:val="001518AD"/>
    <w:rsid w:val="00152BF5"/>
    <w:rsid w:val="00155112"/>
    <w:rsid w:val="00155CE9"/>
    <w:rsid w:val="0017161F"/>
    <w:rsid w:val="00174629"/>
    <w:rsid w:val="00186588"/>
    <w:rsid w:val="00186D07"/>
    <w:rsid w:val="00186F5F"/>
    <w:rsid w:val="00191106"/>
    <w:rsid w:val="00193D41"/>
    <w:rsid w:val="00194BC9"/>
    <w:rsid w:val="001955B4"/>
    <w:rsid w:val="00197884"/>
    <w:rsid w:val="001A24D6"/>
    <w:rsid w:val="001A38AD"/>
    <w:rsid w:val="001A3F4C"/>
    <w:rsid w:val="001A5655"/>
    <w:rsid w:val="001A794D"/>
    <w:rsid w:val="001B13AC"/>
    <w:rsid w:val="001B1B2A"/>
    <w:rsid w:val="001B34F2"/>
    <w:rsid w:val="001B469C"/>
    <w:rsid w:val="001B59A4"/>
    <w:rsid w:val="001B7E47"/>
    <w:rsid w:val="001C1BE9"/>
    <w:rsid w:val="001C2E7B"/>
    <w:rsid w:val="001C341C"/>
    <w:rsid w:val="001C351F"/>
    <w:rsid w:val="001C51AF"/>
    <w:rsid w:val="001C5247"/>
    <w:rsid w:val="001D7CF1"/>
    <w:rsid w:val="001E2456"/>
    <w:rsid w:val="001E4067"/>
    <w:rsid w:val="001E4DF1"/>
    <w:rsid w:val="001E5AB0"/>
    <w:rsid w:val="001E5DD3"/>
    <w:rsid w:val="001F20F2"/>
    <w:rsid w:val="001F362A"/>
    <w:rsid w:val="001F4696"/>
    <w:rsid w:val="001F62F3"/>
    <w:rsid w:val="00201247"/>
    <w:rsid w:val="00201846"/>
    <w:rsid w:val="00204768"/>
    <w:rsid w:val="00204C83"/>
    <w:rsid w:val="0020602A"/>
    <w:rsid w:val="0020648E"/>
    <w:rsid w:val="00211533"/>
    <w:rsid w:val="00214973"/>
    <w:rsid w:val="00214E49"/>
    <w:rsid w:val="002164A9"/>
    <w:rsid w:val="00222DD9"/>
    <w:rsid w:val="00225800"/>
    <w:rsid w:val="00227926"/>
    <w:rsid w:val="00230256"/>
    <w:rsid w:val="00230E77"/>
    <w:rsid w:val="00230FFE"/>
    <w:rsid w:val="00233028"/>
    <w:rsid w:val="00234E1C"/>
    <w:rsid w:val="00236D73"/>
    <w:rsid w:val="0023704C"/>
    <w:rsid w:val="00240569"/>
    <w:rsid w:val="00240DD4"/>
    <w:rsid w:val="002416E6"/>
    <w:rsid w:val="00245938"/>
    <w:rsid w:val="00245E20"/>
    <w:rsid w:val="002501D9"/>
    <w:rsid w:val="00252B21"/>
    <w:rsid w:val="00255669"/>
    <w:rsid w:val="00256275"/>
    <w:rsid w:val="002610F1"/>
    <w:rsid w:val="00263786"/>
    <w:rsid w:val="00264C1E"/>
    <w:rsid w:val="00266080"/>
    <w:rsid w:val="00266173"/>
    <w:rsid w:val="00266383"/>
    <w:rsid w:val="00266BEB"/>
    <w:rsid w:val="00266D2C"/>
    <w:rsid w:val="00267782"/>
    <w:rsid w:val="0027336A"/>
    <w:rsid w:val="002747FC"/>
    <w:rsid w:val="00274945"/>
    <w:rsid w:val="002751C9"/>
    <w:rsid w:val="00275797"/>
    <w:rsid w:val="00281892"/>
    <w:rsid w:val="002819DE"/>
    <w:rsid w:val="00281F39"/>
    <w:rsid w:val="002826D9"/>
    <w:rsid w:val="00282880"/>
    <w:rsid w:val="002839F0"/>
    <w:rsid w:val="00283F73"/>
    <w:rsid w:val="0028467B"/>
    <w:rsid w:val="00284B4F"/>
    <w:rsid w:val="00297F6B"/>
    <w:rsid w:val="002A0221"/>
    <w:rsid w:val="002A10DC"/>
    <w:rsid w:val="002A20CA"/>
    <w:rsid w:val="002A5001"/>
    <w:rsid w:val="002A661E"/>
    <w:rsid w:val="002A759D"/>
    <w:rsid w:val="002B0156"/>
    <w:rsid w:val="002B0811"/>
    <w:rsid w:val="002B1AE0"/>
    <w:rsid w:val="002B1BC5"/>
    <w:rsid w:val="002B2597"/>
    <w:rsid w:val="002B6A97"/>
    <w:rsid w:val="002B709A"/>
    <w:rsid w:val="002B73BB"/>
    <w:rsid w:val="002C177B"/>
    <w:rsid w:val="002C3D89"/>
    <w:rsid w:val="002C54A2"/>
    <w:rsid w:val="002C7737"/>
    <w:rsid w:val="002D0E5E"/>
    <w:rsid w:val="002D36DE"/>
    <w:rsid w:val="002D531D"/>
    <w:rsid w:val="002D5B38"/>
    <w:rsid w:val="002D6B4D"/>
    <w:rsid w:val="002D6B74"/>
    <w:rsid w:val="002E2ACC"/>
    <w:rsid w:val="002E6EC3"/>
    <w:rsid w:val="002F08AB"/>
    <w:rsid w:val="002F0B18"/>
    <w:rsid w:val="002F0B8A"/>
    <w:rsid w:val="002F1E27"/>
    <w:rsid w:val="002F3FB8"/>
    <w:rsid w:val="002F42DF"/>
    <w:rsid w:val="00302C76"/>
    <w:rsid w:val="00306BC9"/>
    <w:rsid w:val="00307340"/>
    <w:rsid w:val="00307CFF"/>
    <w:rsid w:val="0031026B"/>
    <w:rsid w:val="0031126E"/>
    <w:rsid w:val="00314528"/>
    <w:rsid w:val="003167C3"/>
    <w:rsid w:val="0032010C"/>
    <w:rsid w:val="00321204"/>
    <w:rsid w:val="00323D49"/>
    <w:rsid w:val="003240E7"/>
    <w:rsid w:val="00324F96"/>
    <w:rsid w:val="00327D14"/>
    <w:rsid w:val="00330195"/>
    <w:rsid w:val="00332DA1"/>
    <w:rsid w:val="00333DB9"/>
    <w:rsid w:val="00333E6A"/>
    <w:rsid w:val="00335812"/>
    <w:rsid w:val="0033792A"/>
    <w:rsid w:val="00340C59"/>
    <w:rsid w:val="0034111B"/>
    <w:rsid w:val="00341405"/>
    <w:rsid w:val="0034690D"/>
    <w:rsid w:val="00346EEC"/>
    <w:rsid w:val="00347467"/>
    <w:rsid w:val="00350F69"/>
    <w:rsid w:val="00353707"/>
    <w:rsid w:val="00353A21"/>
    <w:rsid w:val="003563DA"/>
    <w:rsid w:val="0036159D"/>
    <w:rsid w:val="00362BA8"/>
    <w:rsid w:val="00362DCA"/>
    <w:rsid w:val="003728CF"/>
    <w:rsid w:val="00373B69"/>
    <w:rsid w:val="00373D59"/>
    <w:rsid w:val="00374107"/>
    <w:rsid w:val="00375BD9"/>
    <w:rsid w:val="00377F82"/>
    <w:rsid w:val="00383BAA"/>
    <w:rsid w:val="00383FDF"/>
    <w:rsid w:val="003868A6"/>
    <w:rsid w:val="00387983"/>
    <w:rsid w:val="00391163"/>
    <w:rsid w:val="0039161A"/>
    <w:rsid w:val="003917A0"/>
    <w:rsid w:val="00391DBC"/>
    <w:rsid w:val="003925CC"/>
    <w:rsid w:val="003975E3"/>
    <w:rsid w:val="003A08C4"/>
    <w:rsid w:val="003A106E"/>
    <w:rsid w:val="003A3E5F"/>
    <w:rsid w:val="003A7CC4"/>
    <w:rsid w:val="003B03CC"/>
    <w:rsid w:val="003B0E2D"/>
    <w:rsid w:val="003B0EED"/>
    <w:rsid w:val="003B196A"/>
    <w:rsid w:val="003B3347"/>
    <w:rsid w:val="003C13C7"/>
    <w:rsid w:val="003C3724"/>
    <w:rsid w:val="003C40D4"/>
    <w:rsid w:val="003C5582"/>
    <w:rsid w:val="003D0804"/>
    <w:rsid w:val="003D47F7"/>
    <w:rsid w:val="003D54ED"/>
    <w:rsid w:val="003D6651"/>
    <w:rsid w:val="003D6D40"/>
    <w:rsid w:val="003E09C1"/>
    <w:rsid w:val="003E23B7"/>
    <w:rsid w:val="003E40BC"/>
    <w:rsid w:val="003E5016"/>
    <w:rsid w:val="003E6AD1"/>
    <w:rsid w:val="003F4345"/>
    <w:rsid w:val="003F6728"/>
    <w:rsid w:val="00401B1E"/>
    <w:rsid w:val="00402B06"/>
    <w:rsid w:val="00404298"/>
    <w:rsid w:val="00404B84"/>
    <w:rsid w:val="00410A7E"/>
    <w:rsid w:val="00411503"/>
    <w:rsid w:val="00411AD4"/>
    <w:rsid w:val="0041205C"/>
    <w:rsid w:val="0041618D"/>
    <w:rsid w:val="004162C2"/>
    <w:rsid w:val="00420A6D"/>
    <w:rsid w:val="00421556"/>
    <w:rsid w:val="00424884"/>
    <w:rsid w:val="00425D16"/>
    <w:rsid w:val="00427457"/>
    <w:rsid w:val="00433336"/>
    <w:rsid w:val="00433FD4"/>
    <w:rsid w:val="004349BC"/>
    <w:rsid w:val="004377B2"/>
    <w:rsid w:val="0044015B"/>
    <w:rsid w:val="00441F81"/>
    <w:rsid w:val="00443C38"/>
    <w:rsid w:val="004452DD"/>
    <w:rsid w:val="00445637"/>
    <w:rsid w:val="0045006D"/>
    <w:rsid w:val="00451110"/>
    <w:rsid w:val="00455606"/>
    <w:rsid w:val="0045576B"/>
    <w:rsid w:val="00455EB0"/>
    <w:rsid w:val="004610AF"/>
    <w:rsid w:val="00462623"/>
    <w:rsid w:val="00465665"/>
    <w:rsid w:val="004667DC"/>
    <w:rsid w:val="0047112A"/>
    <w:rsid w:val="00477019"/>
    <w:rsid w:val="00477272"/>
    <w:rsid w:val="0048003F"/>
    <w:rsid w:val="0048300F"/>
    <w:rsid w:val="00485E4B"/>
    <w:rsid w:val="00487A19"/>
    <w:rsid w:val="00491396"/>
    <w:rsid w:val="00496242"/>
    <w:rsid w:val="004A1B82"/>
    <w:rsid w:val="004A4DFD"/>
    <w:rsid w:val="004B0DCA"/>
    <w:rsid w:val="004B3346"/>
    <w:rsid w:val="004B4846"/>
    <w:rsid w:val="004B4AB6"/>
    <w:rsid w:val="004B53B4"/>
    <w:rsid w:val="004B56BD"/>
    <w:rsid w:val="004B78AF"/>
    <w:rsid w:val="004C0865"/>
    <w:rsid w:val="004C0D6D"/>
    <w:rsid w:val="004C15A7"/>
    <w:rsid w:val="004C604A"/>
    <w:rsid w:val="004D47B8"/>
    <w:rsid w:val="004D785B"/>
    <w:rsid w:val="004E402C"/>
    <w:rsid w:val="004E496A"/>
    <w:rsid w:val="004F1C5A"/>
    <w:rsid w:val="004F5A01"/>
    <w:rsid w:val="004F663D"/>
    <w:rsid w:val="00500802"/>
    <w:rsid w:val="0050113C"/>
    <w:rsid w:val="005019D5"/>
    <w:rsid w:val="005043ED"/>
    <w:rsid w:val="00504E8D"/>
    <w:rsid w:val="00507D11"/>
    <w:rsid w:val="00510938"/>
    <w:rsid w:val="00512944"/>
    <w:rsid w:val="005168F4"/>
    <w:rsid w:val="00520097"/>
    <w:rsid w:val="00520F65"/>
    <w:rsid w:val="00521A27"/>
    <w:rsid w:val="005223DD"/>
    <w:rsid w:val="00523B42"/>
    <w:rsid w:val="00524F38"/>
    <w:rsid w:val="005254FD"/>
    <w:rsid w:val="0052622C"/>
    <w:rsid w:val="00536B78"/>
    <w:rsid w:val="00537F4B"/>
    <w:rsid w:val="005407AF"/>
    <w:rsid w:val="005408AF"/>
    <w:rsid w:val="00540F3C"/>
    <w:rsid w:val="005424FC"/>
    <w:rsid w:val="00543884"/>
    <w:rsid w:val="00545D3A"/>
    <w:rsid w:val="005468E3"/>
    <w:rsid w:val="0054777A"/>
    <w:rsid w:val="00553666"/>
    <w:rsid w:val="00555DB7"/>
    <w:rsid w:val="00562679"/>
    <w:rsid w:val="0056317E"/>
    <w:rsid w:val="005650CA"/>
    <w:rsid w:val="005708A9"/>
    <w:rsid w:val="00571866"/>
    <w:rsid w:val="00572823"/>
    <w:rsid w:val="00576842"/>
    <w:rsid w:val="00576C49"/>
    <w:rsid w:val="005818D4"/>
    <w:rsid w:val="00587F6F"/>
    <w:rsid w:val="00590ADF"/>
    <w:rsid w:val="00591669"/>
    <w:rsid w:val="00591B9C"/>
    <w:rsid w:val="00596947"/>
    <w:rsid w:val="005977F2"/>
    <w:rsid w:val="005A094E"/>
    <w:rsid w:val="005A1C86"/>
    <w:rsid w:val="005B0DAD"/>
    <w:rsid w:val="005B3436"/>
    <w:rsid w:val="005B3640"/>
    <w:rsid w:val="005B3C33"/>
    <w:rsid w:val="005B4DE5"/>
    <w:rsid w:val="005B5F53"/>
    <w:rsid w:val="005C2198"/>
    <w:rsid w:val="005C34B0"/>
    <w:rsid w:val="005C41FC"/>
    <w:rsid w:val="005C63E2"/>
    <w:rsid w:val="005C79C1"/>
    <w:rsid w:val="005D3044"/>
    <w:rsid w:val="005D7EC2"/>
    <w:rsid w:val="005E1580"/>
    <w:rsid w:val="005E472A"/>
    <w:rsid w:val="005F088D"/>
    <w:rsid w:val="005F13CF"/>
    <w:rsid w:val="005F1865"/>
    <w:rsid w:val="005F39A9"/>
    <w:rsid w:val="005F6D64"/>
    <w:rsid w:val="00600647"/>
    <w:rsid w:val="00606542"/>
    <w:rsid w:val="00606AC6"/>
    <w:rsid w:val="00615BF1"/>
    <w:rsid w:val="006203E5"/>
    <w:rsid w:val="00622966"/>
    <w:rsid w:val="00623052"/>
    <w:rsid w:val="00624FAA"/>
    <w:rsid w:val="006279AE"/>
    <w:rsid w:val="0063147C"/>
    <w:rsid w:val="006317ED"/>
    <w:rsid w:val="006455B9"/>
    <w:rsid w:val="00646E43"/>
    <w:rsid w:val="00650261"/>
    <w:rsid w:val="00652EC1"/>
    <w:rsid w:val="006532F4"/>
    <w:rsid w:val="006543C2"/>
    <w:rsid w:val="00655EA4"/>
    <w:rsid w:val="00661CFA"/>
    <w:rsid w:val="00663E11"/>
    <w:rsid w:val="00665AD0"/>
    <w:rsid w:val="006671E2"/>
    <w:rsid w:val="006710E4"/>
    <w:rsid w:val="00673509"/>
    <w:rsid w:val="0067374C"/>
    <w:rsid w:val="00677416"/>
    <w:rsid w:val="00682CE5"/>
    <w:rsid w:val="00683B84"/>
    <w:rsid w:val="00683C6F"/>
    <w:rsid w:val="00684520"/>
    <w:rsid w:val="0068721E"/>
    <w:rsid w:val="0068752D"/>
    <w:rsid w:val="00691129"/>
    <w:rsid w:val="00696B62"/>
    <w:rsid w:val="00697DDB"/>
    <w:rsid w:val="006A79AC"/>
    <w:rsid w:val="006B03F5"/>
    <w:rsid w:val="006B1A11"/>
    <w:rsid w:val="006B5A0C"/>
    <w:rsid w:val="006C1F33"/>
    <w:rsid w:val="006C2702"/>
    <w:rsid w:val="006C347E"/>
    <w:rsid w:val="006C7B6F"/>
    <w:rsid w:val="006D160B"/>
    <w:rsid w:val="006D6395"/>
    <w:rsid w:val="006E0D05"/>
    <w:rsid w:val="006E23DE"/>
    <w:rsid w:val="006E3F99"/>
    <w:rsid w:val="006E4DEC"/>
    <w:rsid w:val="006F1C25"/>
    <w:rsid w:val="006F4B3C"/>
    <w:rsid w:val="006F5283"/>
    <w:rsid w:val="006F5B42"/>
    <w:rsid w:val="006F5CE9"/>
    <w:rsid w:val="006F60E6"/>
    <w:rsid w:val="006F7CD4"/>
    <w:rsid w:val="007046FB"/>
    <w:rsid w:val="00706763"/>
    <w:rsid w:val="00712247"/>
    <w:rsid w:val="007142E6"/>
    <w:rsid w:val="007203A8"/>
    <w:rsid w:val="007208CA"/>
    <w:rsid w:val="00722646"/>
    <w:rsid w:val="007233EC"/>
    <w:rsid w:val="00723A90"/>
    <w:rsid w:val="0072438A"/>
    <w:rsid w:val="00724ACE"/>
    <w:rsid w:val="00726FE1"/>
    <w:rsid w:val="007325CC"/>
    <w:rsid w:val="007330AC"/>
    <w:rsid w:val="0073501C"/>
    <w:rsid w:val="00735418"/>
    <w:rsid w:val="007469B4"/>
    <w:rsid w:val="007477BE"/>
    <w:rsid w:val="007567AA"/>
    <w:rsid w:val="00757767"/>
    <w:rsid w:val="00761952"/>
    <w:rsid w:val="00761BE2"/>
    <w:rsid w:val="007621DC"/>
    <w:rsid w:val="007639DF"/>
    <w:rsid w:val="00763F34"/>
    <w:rsid w:val="0076407D"/>
    <w:rsid w:val="007640B0"/>
    <w:rsid w:val="00765927"/>
    <w:rsid w:val="007667BF"/>
    <w:rsid w:val="00767337"/>
    <w:rsid w:val="00767C0F"/>
    <w:rsid w:val="00767D02"/>
    <w:rsid w:val="0077552A"/>
    <w:rsid w:val="007758BD"/>
    <w:rsid w:val="00781A17"/>
    <w:rsid w:val="007822FE"/>
    <w:rsid w:val="0078521E"/>
    <w:rsid w:val="00785AF2"/>
    <w:rsid w:val="00786E1B"/>
    <w:rsid w:val="007870CA"/>
    <w:rsid w:val="00791793"/>
    <w:rsid w:val="00796610"/>
    <w:rsid w:val="007A63CB"/>
    <w:rsid w:val="007A6FA4"/>
    <w:rsid w:val="007A747D"/>
    <w:rsid w:val="007B1877"/>
    <w:rsid w:val="007B18F5"/>
    <w:rsid w:val="007B2C9E"/>
    <w:rsid w:val="007B6F3C"/>
    <w:rsid w:val="007C15B9"/>
    <w:rsid w:val="007C1ABC"/>
    <w:rsid w:val="007C6C47"/>
    <w:rsid w:val="007C7588"/>
    <w:rsid w:val="007D1D9A"/>
    <w:rsid w:val="007D20EB"/>
    <w:rsid w:val="007D25E2"/>
    <w:rsid w:val="007D2788"/>
    <w:rsid w:val="007D3AD0"/>
    <w:rsid w:val="007D3B8A"/>
    <w:rsid w:val="007D4386"/>
    <w:rsid w:val="007D4513"/>
    <w:rsid w:val="007D45F9"/>
    <w:rsid w:val="007D68A4"/>
    <w:rsid w:val="007D6CAE"/>
    <w:rsid w:val="007D7690"/>
    <w:rsid w:val="007E1091"/>
    <w:rsid w:val="007E1CDD"/>
    <w:rsid w:val="007E2209"/>
    <w:rsid w:val="007E3C79"/>
    <w:rsid w:val="007E6EDE"/>
    <w:rsid w:val="007E7271"/>
    <w:rsid w:val="007E7B20"/>
    <w:rsid w:val="007F1E03"/>
    <w:rsid w:val="007F5F2A"/>
    <w:rsid w:val="007F60DC"/>
    <w:rsid w:val="007F6A8B"/>
    <w:rsid w:val="00803C00"/>
    <w:rsid w:val="00804035"/>
    <w:rsid w:val="008049F1"/>
    <w:rsid w:val="00811CD0"/>
    <w:rsid w:val="00812088"/>
    <w:rsid w:val="00812C5C"/>
    <w:rsid w:val="0081364F"/>
    <w:rsid w:val="0081607E"/>
    <w:rsid w:val="0081668B"/>
    <w:rsid w:val="00816CD5"/>
    <w:rsid w:val="00827CD0"/>
    <w:rsid w:val="00830471"/>
    <w:rsid w:val="00832A19"/>
    <w:rsid w:val="00837AFA"/>
    <w:rsid w:val="008439DA"/>
    <w:rsid w:val="00850097"/>
    <w:rsid w:val="00851561"/>
    <w:rsid w:val="008520E0"/>
    <w:rsid w:val="008569C0"/>
    <w:rsid w:val="008602F6"/>
    <w:rsid w:val="00865253"/>
    <w:rsid w:val="00866792"/>
    <w:rsid w:val="008671DD"/>
    <w:rsid w:val="008714FE"/>
    <w:rsid w:val="0087515C"/>
    <w:rsid w:val="0087576A"/>
    <w:rsid w:val="00876C43"/>
    <w:rsid w:val="008842DF"/>
    <w:rsid w:val="00885B1E"/>
    <w:rsid w:val="00886343"/>
    <w:rsid w:val="00890F73"/>
    <w:rsid w:val="00891D6D"/>
    <w:rsid w:val="00893641"/>
    <w:rsid w:val="008965CB"/>
    <w:rsid w:val="00897792"/>
    <w:rsid w:val="008B1296"/>
    <w:rsid w:val="008B44C3"/>
    <w:rsid w:val="008B55A1"/>
    <w:rsid w:val="008B600E"/>
    <w:rsid w:val="008C15EB"/>
    <w:rsid w:val="008C274C"/>
    <w:rsid w:val="008C336F"/>
    <w:rsid w:val="008C3FE5"/>
    <w:rsid w:val="008C6444"/>
    <w:rsid w:val="008C7030"/>
    <w:rsid w:val="008C742A"/>
    <w:rsid w:val="008C7E6D"/>
    <w:rsid w:val="008D0A99"/>
    <w:rsid w:val="008D3584"/>
    <w:rsid w:val="008D3B56"/>
    <w:rsid w:val="008D41FB"/>
    <w:rsid w:val="008D6A0C"/>
    <w:rsid w:val="008D6BD3"/>
    <w:rsid w:val="008E0F7C"/>
    <w:rsid w:val="008E3699"/>
    <w:rsid w:val="008E3810"/>
    <w:rsid w:val="008E4E61"/>
    <w:rsid w:val="008E4F11"/>
    <w:rsid w:val="008E55AB"/>
    <w:rsid w:val="008E67EB"/>
    <w:rsid w:val="008F0174"/>
    <w:rsid w:val="008F0B5E"/>
    <w:rsid w:val="008F7B1D"/>
    <w:rsid w:val="00901539"/>
    <w:rsid w:val="00904923"/>
    <w:rsid w:val="00904CA0"/>
    <w:rsid w:val="00913F17"/>
    <w:rsid w:val="0091589C"/>
    <w:rsid w:val="00916581"/>
    <w:rsid w:val="00916EC3"/>
    <w:rsid w:val="0091708F"/>
    <w:rsid w:val="009221A3"/>
    <w:rsid w:val="009224E4"/>
    <w:rsid w:val="00923458"/>
    <w:rsid w:val="0092369E"/>
    <w:rsid w:val="00925FD8"/>
    <w:rsid w:val="0093091C"/>
    <w:rsid w:val="00932130"/>
    <w:rsid w:val="00934EFA"/>
    <w:rsid w:val="009405B4"/>
    <w:rsid w:val="00940A65"/>
    <w:rsid w:val="009425EC"/>
    <w:rsid w:val="00944670"/>
    <w:rsid w:val="00946495"/>
    <w:rsid w:val="0094685C"/>
    <w:rsid w:val="0094748B"/>
    <w:rsid w:val="00947A28"/>
    <w:rsid w:val="00951449"/>
    <w:rsid w:val="00953825"/>
    <w:rsid w:val="009568FC"/>
    <w:rsid w:val="00957AB1"/>
    <w:rsid w:val="009604F1"/>
    <w:rsid w:val="00962BC4"/>
    <w:rsid w:val="00965C49"/>
    <w:rsid w:val="00966850"/>
    <w:rsid w:val="00966D61"/>
    <w:rsid w:val="00972008"/>
    <w:rsid w:val="009749A8"/>
    <w:rsid w:val="009754F4"/>
    <w:rsid w:val="00976FF1"/>
    <w:rsid w:val="0097769A"/>
    <w:rsid w:val="00977A8D"/>
    <w:rsid w:val="00981662"/>
    <w:rsid w:val="00983CAE"/>
    <w:rsid w:val="00984EA2"/>
    <w:rsid w:val="00984EEB"/>
    <w:rsid w:val="0098791C"/>
    <w:rsid w:val="00987BC0"/>
    <w:rsid w:val="00995741"/>
    <w:rsid w:val="009975C0"/>
    <w:rsid w:val="009A081A"/>
    <w:rsid w:val="009A50BD"/>
    <w:rsid w:val="009A6CEB"/>
    <w:rsid w:val="009A6F8C"/>
    <w:rsid w:val="009B0FA5"/>
    <w:rsid w:val="009B0FE3"/>
    <w:rsid w:val="009B10C1"/>
    <w:rsid w:val="009B379F"/>
    <w:rsid w:val="009B3E1B"/>
    <w:rsid w:val="009B717A"/>
    <w:rsid w:val="009C6368"/>
    <w:rsid w:val="009C636C"/>
    <w:rsid w:val="009D0590"/>
    <w:rsid w:val="009D0834"/>
    <w:rsid w:val="009D2D2A"/>
    <w:rsid w:val="009D35BA"/>
    <w:rsid w:val="009E171B"/>
    <w:rsid w:val="009E1B2F"/>
    <w:rsid w:val="009E1FAF"/>
    <w:rsid w:val="009E32FF"/>
    <w:rsid w:val="009E5256"/>
    <w:rsid w:val="009F14B4"/>
    <w:rsid w:val="009F1772"/>
    <w:rsid w:val="009F39D0"/>
    <w:rsid w:val="009F484E"/>
    <w:rsid w:val="009F5600"/>
    <w:rsid w:val="009F72AB"/>
    <w:rsid w:val="00A00E05"/>
    <w:rsid w:val="00A03027"/>
    <w:rsid w:val="00A03038"/>
    <w:rsid w:val="00A033C2"/>
    <w:rsid w:val="00A07B80"/>
    <w:rsid w:val="00A1094B"/>
    <w:rsid w:val="00A2162E"/>
    <w:rsid w:val="00A22517"/>
    <w:rsid w:val="00A22934"/>
    <w:rsid w:val="00A23140"/>
    <w:rsid w:val="00A24093"/>
    <w:rsid w:val="00A24635"/>
    <w:rsid w:val="00A255E4"/>
    <w:rsid w:val="00A26E25"/>
    <w:rsid w:val="00A3023D"/>
    <w:rsid w:val="00A3074A"/>
    <w:rsid w:val="00A34876"/>
    <w:rsid w:val="00A37BA8"/>
    <w:rsid w:val="00A40DA0"/>
    <w:rsid w:val="00A45B03"/>
    <w:rsid w:val="00A47007"/>
    <w:rsid w:val="00A50783"/>
    <w:rsid w:val="00A50BC8"/>
    <w:rsid w:val="00A523BE"/>
    <w:rsid w:val="00A551C4"/>
    <w:rsid w:val="00A56B7C"/>
    <w:rsid w:val="00A574D6"/>
    <w:rsid w:val="00A622F0"/>
    <w:rsid w:val="00A71E58"/>
    <w:rsid w:val="00A73979"/>
    <w:rsid w:val="00A80AF7"/>
    <w:rsid w:val="00A81F3B"/>
    <w:rsid w:val="00A855F0"/>
    <w:rsid w:val="00A9255F"/>
    <w:rsid w:val="00A92D46"/>
    <w:rsid w:val="00A97FA3"/>
    <w:rsid w:val="00AA18D2"/>
    <w:rsid w:val="00AA2358"/>
    <w:rsid w:val="00AA2E21"/>
    <w:rsid w:val="00AA3319"/>
    <w:rsid w:val="00AA4ECD"/>
    <w:rsid w:val="00AA4FC1"/>
    <w:rsid w:val="00AA538C"/>
    <w:rsid w:val="00AA6A58"/>
    <w:rsid w:val="00AB0CD1"/>
    <w:rsid w:val="00AB1615"/>
    <w:rsid w:val="00AB6598"/>
    <w:rsid w:val="00AB68C7"/>
    <w:rsid w:val="00AC26CD"/>
    <w:rsid w:val="00AC3126"/>
    <w:rsid w:val="00AD0A58"/>
    <w:rsid w:val="00AD27D2"/>
    <w:rsid w:val="00AD4366"/>
    <w:rsid w:val="00AE0306"/>
    <w:rsid w:val="00AE20AE"/>
    <w:rsid w:val="00AE269F"/>
    <w:rsid w:val="00AE2B6B"/>
    <w:rsid w:val="00AE5B37"/>
    <w:rsid w:val="00AE63D4"/>
    <w:rsid w:val="00AF0292"/>
    <w:rsid w:val="00AF2A5A"/>
    <w:rsid w:val="00AF38FF"/>
    <w:rsid w:val="00AF4691"/>
    <w:rsid w:val="00AF4F15"/>
    <w:rsid w:val="00B00E20"/>
    <w:rsid w:val="00B02006"/>
    <w:rsid w:val="00B0583A"/>
    <w:rsid w:val="00B06F8A"/>
    <w:rsid w:val="00B07608"/>
    <w:rsid w:val="00B11608"/>
    <w:rsid w:val="00B11D47"/>
    <w:rsid w:val="00B11F4E"/>
    <w:rsid w:val="00B17BDD"/>
    <w:rsid w:val="00B21815"/>
    <w:rsid w:val="00B236B0"/>
    <w:rsid w:val="00B27782"/>
    <w:rsid w:val="00B30352"/>
    <w:rsid w:val="00B37153"/>
    <w:rsid w:val="00B405AF"/>
    <w:rsid w:val="00B424C8"/>
    <w:rsid w:val="00B525C1"/>
    <w:rsid w:val="00B55771"/>
    <w:rsid w:val="00B5616E"/>
    <w:rsid w:val="00B6145A"/>
    <w:rsid w:val="00B6446D"/>
    <w:rsid w:val="00B64806"/>
    <w:rsid w:val="00B67EFE"/>
    <w:rsid w:val="00B721BF"/>
    <w:rsid w:val="00B72883"/>
    <w:rsid w:val="00B77F33"/>
    <w:rsid w:val="00B82194"/>
    <w:rsid w:val="00B821F4"/>
    <w:rsid w:val="00B8594A"/>
    <w:rsid w:val="00B8596C"/>
    <w:rsid w:val="00B863A7"/>
    <w:rsid w:val="00B907F2"/>
    <w:rsid w:val="00B913BD"/>
    <w:rsid w:val="00B924CE"/>
    <w:rsid w:val="00B940A4"/>
    <w:rsid w:val="00B940B9"/>
    <w:rsid w:val="00B94859"/>
    <w:rsid w:val="00B955BA"/>
    <w:rsid w:val="00B95FCF"/>
    <w:rsid w:val="00B9756E"/>
    <w:rsid w:val="00BA04B3"/>
    <w:rsid w:val="00BA3F33"/>
    <w:rsid w:val="00BA3F71"/>
    <w:rsid w:val="00BB0DDB"/>
    <w:rsid w:val="00BB38E0"/>
    <w:rsid w:val="00BB5ABD"/>
    <w:rsid w:val="00BC266E"/>
    <w:rsid w:val="00BC46FD"/>
    <w:rsid w:val="00BC67CE"/>
    <w:rsid w:val="00BD030E"/>
    <w:rsid w:val="00BE2AF6"/>
    <w:rsid w:val="00BE2E65"/>
    <w:rsid w:val="00BE4A3A"/>
    <w:rsid w:val="00BE7160"/>
    <w:rsid w:val="00BF239E"/>
    <w:rsid w:val="00BF38CB"/>
    <w:rsid w:val="00BF6552"/>
    <w:rsid w:val="00C0482E"/>
    <w:rsid w:val="00C0545E"/>
    <w:rsid w:val="00C06DE5"/>
    <w:rsid w:val="00C107CF"/>
    <w:rsid w:val="00C108C3"/>
    <w:rsid w:val="00C1283F"/>
    <w:rsid w:val="00C16282"/>
    <w:rsid w:val="00C1639C"/>
    <w:rsid w:val="00C20CBC"/>
    <w:rsid w:val="00C25761"/>
    <w:rsid w:val="00C26CAB"/>
    <w:rsid w:val="00C27CF5"/>
    <w:rsid w:val="00C32649"/>
    <w:rsid w:val="00C36BFF"/>
    <w:rsid w:val="00C3790D"/>
    <w:rsid w:val="00C40DBD"/>
    <w:rsid w:val="00C40FF2"/>
    <w:rsid w:val="00C510A2"/>
    <w:rsid w:val="00C52F1E"/>
    <w:rsid w:val="00C53487"/>
    <w:rsid w:val="00C53CCF"/>
    <w:rsid w:val="00C55AAA"/>
    <w:rsid w:val="00C61946"/>
    <w:rsid w:val="00C63459"/>
    <w:rsid w:val="00C64CFF"/>
    <w:rsid w:val="00C701CE"/>
    <w:rsid w:val="00C77AD4"/>
    <w:rsid w:val="00C810F6"/>
    <w:rsid w:val="00C856F8"/>
    <w:rsid w:val="00C867AA"/>
    <w:rsid w:val="00C86F0C"/>
    <w:rsid w:val="00C969DC"/>
    <w:rsid w:val="00CA4D61"/>
    <w:rsid w:val="00CA58C8"/>
    <w:rsid w:val="00CA63BF"/>
    <w:rsid w:val="00CB3611"/>
    <w:rsid w:val="00CB4A15"/>
    <w:rsid w:val="00CB4D72"/>
    <w:rsid w:val="00CC0AEB"/>
    <w:rsid w:val="00CC3238"/>
    <w:rsid w:val="00CC584A"/>
    <w:rsid w:val="00CC7998"/>
    <w:rsid w:val="00CD1490"/>
    <w:rsid w:val="00CD21AA"/>
    <w:rsid w:val="00CD697D"/>
    <w:rsid w:val="00CE08A1"/>
    <w:rsid w:val="00CE09A3"/>
    <w:rsid w:val="00CE2054"/>
    <w:rsid w:val="00CE3263"/>
    <w:rsid w:val="00CE43F6"/>
    <w:rsid w:val="00CF2727"/>
    <w:rsid w:val="00CF3C2C"/>
    <w:rsid w:val="00D00653"/>
    <w:rsid w:val="00D063F7"/>
    <w:rsid w:val="00D06E3E"/>
    <w:rsid w:val="00D07E36"/>
    <w:rsid w:val="00D125CE"/>
    <w:rsid w:val="00D1395D"/>
    <w:rsid w:val="00D21B0D"/>
    <w:rsid w:val="00D34FEB"/>
    <w:rsid w:val="00D35B41"/>
    <w:rsid w:val="00D371FF"/>
    <w:rsid w:val="00D372F5"/>
    <w:rsid w:val="00D445E3"/>
    <w:rsid w:val="00D47F8E"/>
    <w:rsid w:val="00D500B5"/>
    <w:rsid w:val="00D5159E"/>
    <w:rsid w:val="00D570FB"/>
    <w:rsid w:val="00D627A2"/>
    <w:rsid w:val="00D63975"/>
    <w:rsid w:val="00D657CE"/>
    <w:rsid w:val="00D65844"/>
    <w:rsid w:val="00D66AF6"/>
    <w:rsid w:val="00D6710E"/>
    <w:rsid w:val="00D71C27"/>
    <w:rsid w:val="00D74FF0"/>
    <w:rsid w:val="00D80A35"/>
    <w:rsid w:val="00D82B51"/>
    <w:rsid w:val="00D848A2"/>
    <w:rsid w:val="00D85480"/>
    <w:rsid w:val="00D85ACA"/>
    <w:rsid w:val="00D87CEF"/>
    <w:rsid w:val="00D91D20"/>
    <w:rsid w:val="00D97813"/>
    <w:rsid w:val="00D978C1"/>
    <w:rsid w:val="00DA1430"/>
    <w:rsid w:val="00DA3259"/>
    <w:rsid w:val="00DA391F"/>
    <w:rsid w:val="00DA424A"/>
    <w:rsid w:val="00DA4460"/>
    <w:rsid w:val="00DA4DA2"/>
    <w:rsid w:val="00DA4DD3"/>
    <w:rsid w:val="00DA5BD9"/>
    <w:rsid w:val="00DB189A"/>
    <w:rsid w:val="00DB3C68"/>
    <w:rsid w:val="00DB6562"/>
    <w:rsid w:val="00DB661D"/>
    <w:rsid w:val="00DB6722"/>
    <w:rsid w:val="00DC054A"/>
    <w:rsid w:val="00DC61ED"/>
    <w:rsid w:val="00DC6CB9"/>
    <w:rsid w:val="00DC7241"/>
    <w:rsid w:val="00DC738A"/>
    <w:rsid w:val="00DC742C"/>
    <w:rsid w:val="00DD0463"/>
    <w:rsid w:val="00DD0A59"/>
    <w:rsid w:val="00DD22FA"/>
    <w:rsid w:val="00DD2849"/>
    <w:rsid w:val="00DD2B1C"/>
    <w:rsid w:val="00DD2F11"/>
    <w:rsid w:val="00DD382B"/>
    <w:rsid w:val="00DD7EC6"/>
    <w:rsid w:val="00DE028C"/>
    <w:rsid w:val="00DE129C"/>
    <w:rsid w:val="00DE15BC"/>
    <w:rsid w:val="00DE275B"/>
    <w:rsid w:val="00DE2C2B"/>
    <w:rsid w:val="00DE6702"/>
    <w:rsid w:val="00DE6DE3"/>
    <w:rsid w:val="00DF0711"/>
    <w:rsid w:val="00DF0F50"/>
    <w:rsid w:val="00DF33E9"/>
    <w:rsid w:val="00DF4AB0"/>
    <w:rsid w:val="00E0546A"/>
    <w:rsid w:val="00E06BCA"/>
    <w:rsid w:val="00E071F5"/>
    <w:rsid w:val="00E07E0B"/>
    <w:rsid w:val="00E1268B"/>
    <w:rsid w:val="00E13072"/>
    <w:rsid w:val="00E15E37"/>
    <w:rsid w:val="00E16853"/>
    <w:rsid w:val="00E17980"/>
    <w:rsid w:val="00E227F9"/>
    <w:rsid w:val="00E25F14"/>
    <w:rsid w:val="00E26C81"/>
    <w:rsid w:val="00E312F7"/>
    <w:rsid w:val="00E358C9"/>
    <w:rsid w:val="00E3679F"/>
    <w:rsid w:val="00E37981"/>
    <w:rsid w:val="00E43DAF"/>
    <w:rsid w:val="00E517E2"/>
    <w:rsid w:val="00E55354"/>
    <w:rsid w:val="00E574F2"/>
    <w:rsid w:val="00E57E2E"/>
    <w:rsid w:val="00E67AB6"/>
    <w:rsid w:val="00E70B90"/>
    <w:rsid w:val="00E70F7C"/>
    <w:rsid w:val="00E73702"/>
    <w:rsid w:val="00E73A26"/>
    <w:rsid w:val="00E76D0E"/>
    <w:rsid w:val="00E778A1"/>
    <w:rsid w:val="00E81331"/>
    <w:rsid w:val="00E82C7C"/>
    <w:rsid w:val="00E83801"/>
    <w:rsid w:val="00E8664D"/>
    <w:rsid w:val="00E86E83"/>
    <w:rsid w:val="00E8706A"/>
    <w:rsid w:val="00E8710C"/>
    <w:rsid w:val="00E87405"/>
    <w:rsid w:val="00E87675"/>
    <w:rsid w:val="00E87BB8"/>
    <w:rsid w:val="00E9040B"/>
    <w:rsid w:val="00E906F4"/>
    <w:rsid w:val="00E916E2"/>
    <w:rsid w:val="00E92162"/>
    <w:rsid w:val="00EA2543"/>
    <w:rsid w:val="00EA2748"/>
    <w:rsid w:val="00EA570C"/>
    <w:rsid w:val="00EA5C44"/>
    <w:rsid w:val="00EB0D05"/>
    <w:rsid w:val="00EB1C8A"/>
    <w:rsid w:val="00EB4A39"/>
    <w:rsid w:val="00EB564E"/>
    <w:rsid w:val="00EC15D2"/>
    <w:rsid w:val="00EC4AE9"/>
    <w:rsid w:val="00EC6330"/>
    <w:rsid w:val="00EC65F4"/>
    <w:rsid w:val="00EC702A"/>
    <w:rsid w:val="00ED05E5"/>
    <w:rsid w:val="00ED0A52"/>
    <w:rsid w:val="00ED26F3"/>
    <w:rsid w:val="00ED4002"/>
    <w:rsid w:val="00ED45C3"/>
    <w:rsid w:val="00ED4AFE"/>
    <w:rsid w:val="00ED6115"/>
    <w:rsid w:val="00ED6EA2"/>
    <w:rsid w:val="00EE2CF2"/>
    <w:rsid w:val="00EE434F"/>
    <w:rsid w:val="00EE5A68"/>
    <w:rsid w:val="00EE60F4"/>
    <w:rsid w:val="00EE75EC"/>
    <w:rsid w:val="00EF04F3"/>
    <w:rsid w:val="00EF09AF"/>
    <w:rsid w:val="00EF2997"/>
    <w:rsid w:val="00EF29A6"/>
    <w:rsid w:val="00F00349"/>
    <w:rsid w:val="00F00E64"/>
    <w:rsid w:val="00F02109"/>
    <w:rsid w:val="00F0340C"/>
    <w:rsid w:val="00F03ED3"/>
    <w:rsid w:val="00F0745B"/>
    <w:rsid w:val="00F07A61"/>
    <w:rsid w:val="00F1067B"/>
    <w:rsid w:val="00F12FFC"/>
    <w:rsid w:val="00F1424D"/>
    <w:rsid w:val="00F20FEF"/>
    <w:rsid w:val="00F2389F"/>
    <w:rsid w:val="00F356A5"/>
    <w:rsid w:val="00F375CD"/>
    <w:rsid w:val="00F4303F"/>
    <w:rsid w:val="00F44742"/>
    <w:rsid w:val="00F44B36"/>
    <w:rsid w:val="00F44D3F"/>
    <w:rsid w:val="00F4736E"/>
    <w:rsid w:val="00F558EA"/>
    <w:rsid w:val="00F6121E"/>
    <w:rsid w:val="00F61808"/>
    <w:rsid w:val="00F61A1E"/>
    <w:rsid w:val="00F6218E"/>
    <w:rsid w:val="00F62D7C"/>
    <w:rsid w:val="00F63E36"/>
    <w:rsid w:val="00F64EC2"/>
    <w:rsid w:val="00F670DB"/>
    <w:rsid w:val="00F70B23"/>
    <w:rsid w:val="00F73D83"/>
    <w:rsid w:val="00F77052"/>
    <w:rsid w:val="00F774C4"/>
    <w:rsid w:val="00F77934"/>
    <w:rsid w:val="00F815B1"/>
    <w:rsid w:val="00F855A1"/>
    <w:rsid w:val="00F86F09"/>
    <w:rsid w:val="00F951F6"/>
    <w:rsid w:val="00FA311E"/>
    <w:rsid w:val="00FA4D6C"/>
    <w:rsid w:val="00FA56EC"/>
    <w:rsid w:val="00FB2A06"/>
    <w:rsid w:val="00FB2D57"/>
    <w:rsid w:val="00FB452C"/>
    <w:rsid w:val="00FB5F76"/>
    <w:rsid w:val="00FB6AFA"/>
    <w:rsid w:val="00FB790D"/>
    <w:rsid w:val="00FC0D51"/>
    <w:rsid w:val="00FC27AD"/>
    <w:rsid w:val="00FC2FD0"/>
    <w:rsid w:val="00FC5952"/>
    <w:rsid w:val="00FC7F22"/>
    <w:rsid w:val="00FD0D0F"/>
    <w:rsid w:val="00FD492A"/>
    <w:rsid w:val="00FD4F07"/>
    <w:rsid w:val="00FD5949"/>
    <w:rsid w:val="00FE3F89"/>
    <w:rsid w:val="00FE52E1"/>
    <w:rsid w:val="00FE5401"/>
    <w:rsid w:val="00FE5571"/>
    <w:rsid w:val="00FF0657"/>
    <w:rsid w:val="00FF19E8"/>
    <w:rsid w:val="00FF441C"/>
    <w:rsid w:val="00FF74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83C34"/>
  <w15:chartTrackingRefBased/>
  <w15:docId w15:val="{F7994BEB-34F4-4911-9798-EB8290BE8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F5F"/>
  </w:style>
  <w:style w:type="paragraph" w:styleId="Ttulo3">
    <w:name w:val="heading 3"/>
    <w:basedOn w:val="Normal"/>
    <w:link w:val="Ttulo3Char"/>
    <w:uiPriority w:val="9"/>
    <w:qFormat/>
    <w:rsid w:val="004A1B8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683C6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EE60F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4A1B82"/>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4A1B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nhideWhenUsed/>
    <w:rsid w:val="004A1B82"/>
    <w:rPr>
      <w:color w:val="0000FF"/>
      <w:u w:val="single"/>
    </w:rPr>
  </w:style>
  <w:style w:type="paragraph" w:customStyle="1" w:styleId="tcu-ac-item9-">
    <w:name w:val="tcu_-_ac_-_item_9_-_§§"/>
    <w:basedOn w:val="Normal"/>
    <w:rsid w:val="004A1B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Segundo,Texto"/>
    <w:basedOn w:val="Normal"/>
    <w:link w:val="PargrafodaListaChar"/>
    <w:uiPriority w:val="34"/>
    <w:qFormat/>
    <w:rsid w:val="00E73A26"/>
    <w:pPr>
      <w:ind w:left="720"/>
      <w:contextualSpacing/>
    </w:pPr>
  </w:style>
  <w:style w:type="character" w:customStyle="1" w:styleId="A0">
    <w:name w:val="A0"/>
    <w:uiPriority w:val="99"/>
    <w:rsid w:val="00266383"/>
    <w:rPr>
      <w:rFonts w:cs="Merriweather"/>
      <w:color w:val="000000"/>
    </w:rPr>
  </w:style>
  <w:style w:type="paragraph" w:styleId="Textodenotaderodap">
    <w:name w:val="footnote text"/>
    <w:aliases w:val=" Char,Char,Char4,fn,ALTS FOOTNOTE,Texto de rodapé,Nota de rodapé"/>
    <w:basedOn w:val="Normal"/>
    <w:link w:val="TextodenotaderodapChar"/>
    <w:uiPriority w:val="99"/>
    <w:qFormat/>
    <w:rsid w:val="00297F6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uiPriority w:val="99"/>
    <w:qFormat/>
    <w:rsid w:val="00297F6B"/>
    <w:rPr>
      <w:rFonts w:ascii="Times New Roman" w:eastAsia="Times New Roman" w:hAnsi="Times New Roman" w:cs="Times New Roman"/>
      <w:sz w:val="20"/>
      <w:szCs w:val="20"/>
      <w:lang w:eastAsia="pt-BR"/>
    </w:rPr>
  </w:style>
  <w:style w:type="character" w:styleId="Refdenotaderodap">
    <w:name w:val="footnote reference"/>
    <w:qFormat/>
    <w:rsid w:val="00297F6B"/>
    <w:rPr>
      <w:vertAlign w:val="superscript"/>
    </w:rPr>
  </w:style>
  <w:style w:type="character" w:customStyle="1" w:styleId="PargrafodaListaChar">
    <w:name w:val="Parágrafo da Lista Char"/>
    <w:aliases w:val="Segundo Char,Texto Char"/>
    <w:link w:val="PargrafodaLista"/>
    <w:uiPriority w:val="34"/>
    <w:qFormat/>
    <w:locked/>
    <w:rsid w:val="009749A8"/>
  </w:style>
  <w:style w:type="character" w:customStyle="1" w:styleId="undefined">
    <w:name w:val="undefined"/>
    <w:basedOn w:val="Fontepargpadro"/>
    <w:rsid w:val="0044015B"/>
  </w:style>
  <w:style w:type="paragraph" w:customStyle="1" w:styleId="Default">
    <w:name w:val="Default"/>
    <w:rsid w:val="003414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grafo">
    <w:name w:val="Parágrafo"/>
    <w:basedOn w:val="Normal"/>
    <w:link w:val="PargrafoChar"/>
    <w:rsid w:val="00E86E83"/>
    <w:pPr>
      <w:spacing w:before="120" w:after="0" w:line="360" w:lineRule="auto"/>
      <w:ind w:firstLine="851"/>
      <w:jc w:val="both"/>
    </w:pPr>
    <w:rPr>
      <w:rFonts w:ascii="Times New Roman" w:eastAsia="Times New Roman" w:hAnsi="Times New Roman" w:cs="Times New Roman"/>
      <w:sz w:val="26"/>
      <w:szCs w:val="20"/>
      <w:lang w:val="x-none" w:eastAsia="x-none"/>
    </w:rPr>
  </w:style>
  <w:style w:type="character" w:customStyle="1" w:styleId="PargrafoChar">
    <w:name w:val="Parágrafo Char"/>
    <w:link w:val="Pargrafo"/>
    <w:rsid w:val="00E86E83"/>
    <w:rPr>
      <w:rFonts w:ascii="Times New Roman" w:eastAsia="Times New Roman" w:hAnsi="Times New Roman" w:cs="Times New Roman"/>
      <w:sz w:val="26"/>
      <w:szCs w:val="20"/>
      <w:lang w:val="x-none" w:eastAsia="x-none"/>
    </w:rPr>
  </w:style>
  <w:style w:type="character" w:styleId="Forte">
    <w:name w:val="Strong"/>
    <w:basedOn w:val="Fontepargpadro"/>
    <w:uiPriority w:val="22"/>
    <w:qFormat/>
    <w:rsid w:val="00AA6A58"/>
    <w:rPr>
      <w:b/>
      <w:bCs/>
    </w:rPr>
  </w:style>
  <w:style w:type="character" w:customStyle="1" w:styleId="ovr-highlight">
    <w:name w:val="ovr-highlight"/>
    <w:basedOn w:val="Fontepargpadro"/>
    <w:rsid w:val="00AA6A58"/>
  </w:style>
  <w:style w:type="character" w:styleId="nfase">
    <w:name w:val="Emphasis"/>
    <w:basedOn w:val="Fontepargpadro"/>
    <w:uiPriority w:val="20"/>
    <w:qFormat/>
    <w:rsid w:val="00AA6A58"/>
    <w:rPr>
      <w:i/>
      <w:iCs/>
    </w:rPr>
  </w:style>
  <w:style w:type="paragraph" w:styleId="Citao">
    <w:name w:val="Quote"/>
    <w:basedOn w:val="Normal"/>
    <w:next w:val="Normal"/>
    <w:link w:val="CitaoChar"/>
    <w:qFormat/>
    <w:rsid w:val="005977F2"/>
    <w:pPr>
      <w:spacing w:after="0" w:line="240" w:lineRule="auto"/>
      <w:ind w:left="1134"/>
      <w:jc w:val="both"/>
    </w:pPr>
    <w:rPr>
      <w:rFonts w:ascii="Arial" w:eastAsiaTheme="minorEastAsia" w:hAnsi="Arial"/>
      <w:iCs/>
      <w:color w:val="000000" w:themeColor="text1"/>
      <w:sz w:val="20"/>
      <w:szCs w:val="24"/>
      <w:lang w:eastAsia="pt-BR"/>
    </w:rPr>
  </w:style>
  <w:style w:type="character" w:customStyle="1" w:styleId="CitaoChar">
    <w:name w:val="Citação Char"/>
    <w:basedOn w:val="Fontepargpadro"/>
    <w:link w:val="Citao"/>
    <w:rsid w:val="005977F2"/>
    <w:rPr>
      <w:rFonts w:ascii="Arial" w:eastAsiaTheme="minorEastAsia" w:hAnsi="Arial"/>
      <w:iCs/>
      <w:color w:val="000000" w:themeColor="text1"/>
      <w:sz w:val="20"/>
      <w:szCs w:val="24"/>
      <w:lang w:eastAsia="pt-BR"/>
    </w:rPr>
  </w:style>
  <w:style w:type="paragraph" w:styleId="Textodecomentrio">
    <w:name w:val="annotation text"/>
    <w:basedOn w:val="Normal"/>
    <w:link w:val="TextodecomentrioChar"/>
    <w:uiPriority w:val="99"/>
    <w:unhideWhenUsed/>
    <w:rsid w:val="008E4E61"/>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8E4E61"/>
    <w:rPr>
      <w:rFonts w:ascii="Times New Roman" w:eastAsia="Times New Roman" w:hAnsi="Times New Roman" w:cs="Times New Roman"/>
      <w:sz w:val="20"/>
      <w:szCs w:val="20"/>
      <w:lang w:eastAsia="pt-BR"/>
    </w:rPr>
  </w:style>
  <w:style w:type="paragraph" w:customStyle="1" w:styleId="textbody">
    <w:name w:val="textbody"/>
    <w:basedOn w:val="Normal"/>
    <w:rsid w:val="0020124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1029C9"/>
    <w:p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uiPriority w:val="99"/>
    <w:semiHidden/>
    <w:rsid w:val="001029C9"/>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1029C9"/>
    <w:pPr>
      <w:tabs>
        <w:tab w:val="left" w:pos="1700"/>
      </w:tabs>
      <w:spacing w:after="0" w:line="360" w:lineRule="auto"/>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uiPriority w:val="99"/>
    <w:rsid w:val="001029C9"/>
    <w:rPr>
      <w:rFonts w:ascii="Times New Roman" w:eastAsia="Times New Roman" w:hAnsi="Times New Roman" w:cs="Times New Roman"/>
      <w:sz w:val="28"/>
      <w:szCs w:val="20"/>
      <w:lang w:eastAsia="pt-BR"/>
    </w:rPr>
  </w:style>
  <w:style w:type="paragraph" w:styleId="Cabealho">
    <w:name w:val="header"/>
    <w:basedOn w:val="Normal"/>
    <w:link w:val="CabealhoChar"/>
    <w:rsid w:val="00330195"/>
    <w:pPr>
      <w:tabs>
        <w:tab w:val="center" w:pos="4419"/>
        <w:tab w:val="right" w:pos="8838"/>
      </w:tabs>
      <w:spacing w:after="0" w:line="240" w:lineRule="auto"/>
      <w:jc w:val="both"/>
    </w:pPr>
    <w:rPr>
      <w:rFonts w:ascii="Bookman Old Style" w:eastAsia="Times New Roman" w:hAnsi="Bookman Old Style" w:cs="Times New Roman"/>
      <w:sz w:val="28"/>
      <w:szCs w:val="20"/>
      <w:lang w:eastAsia="pt-BR"/>
    </w:rPr>
  </w:style>
  <w:style w:type="character" w:customStyle="1" w:styleId="CabealhoChar">
    <w:name w:val="Cabeçalho Char"/>
    <w:basedOn w:val="Fontepargpadro"/>
    <w:link w:val="Cabealho"/>
    <w:rsid w:val="00330195"/>
    <w:rPr>
      <w:rFonts w:ascii="Bookman Old Style" w:eastAsia="Times New Roman" w:hAnsi="Bookman Old Style" w:cs="Times New Roman"/>
      <w:sz w:val="28"/>
      <w:szCs w:val="20"/>
      <w:lang w:eastAsia="pt-BR"/>
    </w:rPr>
  </w:style>
  <w:style w:type="paragraph" w:styleId="Rodap">
    <w:name w:val="footer"/>
    <w:basedOn w:val="Normal"/>
    <w:link w:val="RodapChar"/>
    <w:unhideWhenUsed/>
    <w:rsid w:val="00786E1B"/>
    <w:pPr>
      <w:tabs>
        <w:tab w:val="center" w:pos="4252"/>
        <w:tab w:val="right" w:pos="8504"/>
      </w:tabs>
      <w:spacing w:after="0" w:line="240" w:lineRule="auto"/>
    </w:pPr>
  </w:style>
  <w:style w:type="character" w:customStyle="1" w:styleId="RodapChar">
    <w:name w:val="Rodapé Char"/>
    <w:basedOn w:val="Fontepargpadro"/>
    <w:link w:val="Rodap"/>
    <w:rsid w:val="00786E1B"/>
  </w:style>
  <w:style w:type="paragraph" w:customStyle="1" w:styleId="TCU-Epgrafe">
    <w:name w:val="TCU - Epígrafe"/>
    <w:basedOn w:val="Normal"/>
    <w:rsid w:val="00306BC9"/>
    <w:pPr>
      <w:spacing w:after="0" w:line="240" w:lineRule="auto"/>
      <w:ind w:left="2835"/>
      <w:jc w:val="both"/>
    </w:pPr>
    <w:rPr>
      <w:rFonts w:ascii="Times New Roman" w:eastAsia="Times New Roman" w:hAnsi="Times New Roman" w:cs="Times New Roman"/>
      <w:sz w:val="24"/>
      <w:szCs w:val="20"/>
      <w:lang w:eastAsia="pt-BR"/>
    </w:rPr>
  </w:style>
  <w:style w:type="paragraph" w:customStyle="1" w:styleId="Corpodetexto21">
    <w:name w:val="Corpo de texto 21"/>
    <w:basedOn w:val="Normal"/>
    <w:rsid w:val="009D0834"/>
    <w:pPr>
      <w:suppressAutoHyphens/>
      <w:spacing w:after="120" w:line="480" w:lineRule="auto"/>
    </w:pPr>
    <w:rPr>
      <w:rFonts w:ascii="Times New Roman" w:eastAsia="Times New Roman" w:hAnsi="Times New Roman" w:cs="Times New Roman"/>
      <w:kern w:val="1"/>
      <w:sz w:val="24"/>
      <w:szCs w:val="24"/>
      <w:lang w:eastAsia="zh-CN"/>
    </w:rPr>
  </w:style>
  <w:style w:type="paragraph" w:styleId="Textodebalo">
    <w:name w:val="Balloon Text"/>
    <w:basedOn w:val="Normal"/>
    <w:link w:val="TextodebaloChar"/>
    <w:uiPriority w:val="99"/>
    <w:semiHidden/>
    <w:unhideWhenUsed/>
    <w:rsid w:val="009D08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0834"/>
    <w:rPr>
      <w:rFonts w:ascii="Segoe UI" w:hAnsi="Segoe UI" w:cs="Segoe UI"/>
      <w:sz w:val="18"/>
      <w:szCs w:val="18"/>
    </w:rPr>
  </w:style>
  <w:style w:type="paragraph" w:styleId="Corpodetexto3">
    <w:name w:val="Body Text 3"/>
    <w:basedOn w:val="Normal"/>
    <w:link w:val="Corpodetexto3Char"/>
    <w:uiPriority w:val="99"/>
    <w:semiHidden/>
    <w:unhideWhenUsed/>
    <w:rsid w:val="005B3436"/>
    <w:pPr>
      <w:spacing w:after="120"/>
    </w:pPr>
    <w:rPr>
      <w:sz w:val="16"/>
      <w:szCs w:val="16"/>
    </w:rPr>
  </w:style>
  <w:style w:type="character" w:customStyle="1" w:styleId="Corpodetexto3Char">
    <w:name w:val="Corpo de texto 3 Char"/>
    <w:basedOn w:val="Fontepargpadro"/>
    <w:link w:val="Corpodetexto3"/>
    <w:uiPriority w:val="99"/>
    <w:semiHidden/>
    <w:rsid w:val="005B3436"/>
    <w:rPr>
      <w:sz w:val="16"/>
      <w:szCs w:val="16"/>
    </w:rPr>
  </w:style>
  <w:style w:type="paragraph" w:customStyle="1" w:styleId="Contestao">
    <w:name w:val="Contestação"/>
    <w:basedOn w:val="Recuodecorpodetexto2"/>
    <w:rsid w:val="00A45B03"/>
    <w:pPr>
      <w:snapToGrid w:val="0"/>
      <w:spacing w:before="120" w:after="0" w:line="360" w:lineRule="exact"/>
      <w:ind w:left="0" w:firstLine="2268"/>
      <w:jc w:val="both"/>
    </w:pPr>
    <w:rPr>
      <w:rFonts w:ascii="Verdana" w:eastAsia="Times New Roman" w:hAnsi="Verdana" w:cs="Times New Roman"/>
      <w:color w:val="000000"/>
      <w:sz w:val="24"/>
      <w:szCs w:val="20"/>
      <w:lang w:eastAsia="pt-BR"/>
    </w:rPr>
  </w:style>
  <w:style w:type="paragraph" w:styleId="Recuodecorpodetexto2">
    <w:name w:val="Body Text Indent 2"/>
    <w:basedOn w:val="Normal"/>
    <w:link w:val="Recuodecorpodetexto2Char"/>
    <w:uiPriority w:val="99"/>
    <w:semiHidden/>
    <w:unhideWhenUsed/>
    <w:rsid w:val="00A45B0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A45B03"/>
  </w:style>
  <w:style w:type="character" w:styleId="Refdecomentrio">
    <w:name w:val="annotation reference"/>
    <w:basedOn w:val="Fontepargpadro"/>
    <w:uiPriority w:val="99"/>
    <w:semiHidden/>
    <w:unhideWhenUsed/>
    <w:rsid w:val="00E67AB6"/>
    <w:rPr>
      <w:sz w:val="16"/>
      <w:szCs w:val="16"/>
    </w:rPr>
  </w:style>
  <w:style w:type="paragraph" w:styleId="Assuntodocomentrio">
    <w:name w:val="annotation subject"/>
    <w:basedOn w:val="Textodecomentrio"/>
    <w:next w:val="Textodecomentrio"/>
    <w:link w:val="AssuntodocomentrioChar"/>
    <w:uiPriority w:val="99"/>
    <w:semiHidden/>
    <w:unhideWhenUsed/>
    <w:rsid w:val="00E67AB6"/>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E67AB6"/>
    <w:rPr>
      <w:rFonts w:ascii="Times New Roman" w:eastAsia="Times New Roman" w:hAnsi="Times New Roman" w:cs="Times New Roman"/>
      <w:b/>
      <w:bCs/>
      <w:sz w:val="20"/>
      <w:szCs w:val="20"/>
      <w:lang w:eastAsia="pt-BR"/>
    </w:rPr>
  </w:style>
  <w:style w:type="table" w:styleId="Tabelacomgrade">
    <w:name w:val="Table Grid"/>
    <w:basedOn w:val="Tabelanormal"/>
    <w:uiPriority w:val="39"/>
    <w:rsid w:val="00090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47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5Char">
    <w:name w:val="Título 5 Char"/>
    <w:basedOn w:val="Fontepargpadro"/>
    <w:link w:val="Ttulo5"/>
    <w:uiPriority w:val="9"/>
    <w:semiHidden/>
    <w:rsid w:val="00EE60F4"/>
    <w:rPr>
      <w:rFonts w:asciiTheme="majorHAnsi" w:eastAsiaTheme="majorEastAsia" w:hAnsiTheme="majorHAnsi" w:cstheme="majorBidi"/>
      <w:color w:val="2E74B5" w:themeColor="accent1" w:themeShade="BF"/>
    </w:rPr>
  </w:style>
  <w:style w:type="paragraph" w:customStyle="1" w:styleId="ListaAGU">
    <w:name w:val="Lista AGU"/>
    <w:basedOn w:val="Normal"/>
    <w:qFormat/>
    <w:rsid w:val="00DD382B"/>
    <w:pPr>
      <w:numPr>
        <w:numId w:val="42"/>
      </w:numPr>
      <w:tabs>
        <w:tab w:val="left" w:pos="1418"/>
      </w:tabs>
      <w:suppressAutoHyphens/>
      <w:spacing w:before="120" w:after="120" w:line="240" w:lineRule="auto"/>
      <w:ind w:left="1418" w:firstLine="0"/>
      <w:jc w:val="both"/>
    </w:pPr>
    <w:rPr>
      <w:rFonts w:ascii="Times New Roman" w:eastAsia="Times New Roman" w:hAnsi="Times New Roman" w:cs="Times New Roman"/>
      <w:sz w:val="20"/>
      <w:szCs w:val="20"/>
      <w:lang w:eastAsia="ar-SA"/>
    </w:rPr>
  </w:style>
  <w:style w:type="character" w:customStyle="1" w:styleId="Ttulo4Char">
    <w:name w:val="Título 4 Char"/>
    <w:basedOn w:val="Fontepargpadro"/>
    <w:link w:val="Ttulo4"/>
    <w:uiPriority w:val="9"/>
    <w:semiHidden/>
    <w:rsid w:val="00683C6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73785">
      <w:bodyDiv w:val="1"/>
      <w:marLeft w:val="0"/>
      <w:marRight w:val="0"/>
      <w:marTop w:val="0"/>
      <w:marBottom w:val="0"/>
      <w:divBdr>
        <w:top w:val="none" w:sz="0" w:space="0" w:color="auto"/>
        <w:left w:val="none" w:sz="0" w:space="0" w:color="auto"/>
        <w:bottom w:val="none" w:sz="0" w:space="0" w:color="auto"/>
        <w:right w:val="none" w:sz="0" w:space="0" w:color="auto"/>
      </w:divBdr>
    </w:div>
    <w:div w:id="55394216">
      <w:bodyDiv w:val="1"/>
      <w:marLeft w:val="0"/>
      <w:marRight w:val="0"/>
      <w:marTop w:val="0"/>
      <w:marBottom w:val="0"/>
      <w:divBdr>
        <w:top w:val="none" w:sz="0" w:space="0" w:color="auto"/>
        <w:left w:val="none" w:sz="0" w:space="0" w:color="auto"/>
        <w:bottom w:val="none" w:sz="0" w:space="0" w:color="auto"/>
        <w:right w:val="none" w:sz="0" w:space="0" w:color="auto"/>
      </w:divBdr>
    </w:div>
    <w:div w:id="118882851">
      <w:bodyDiv w:val="1"/>
      <w:marLeft w:val="0"/>
      <w:marRight w:val="0"/>
      <w:marTop w:val="0"/>
      <w:marBottom w:val="0"/>
      <w:divBdr>
        <w:top w:val="none" w:sz="0" w:space="0" w:color="auto"/>
        <w:left w:val="none" w:sz="0" w:space="0" w:color="auto"/>
        <w:bottom w:val="none" w:sz="0" w:space="0" w:color="auto"/>
        <w:right w:val="none" w:sz="0" w:space="0" w:color="auto"/>
      </w:divBdr>
    </w:div>
    <w:div w:id="129521464">
      <w:bodyDiv w:val="1"/>
      <w:marLeft w:val="0"/>
      <w:marRight w:val="0"/>
      <w:marTop w:val="0"/>
      <w:marBottom w:val="0"/>
      <w:divBdr>
        <w:top w:val="none" w:sz="0" w:space="0" w:color="auto"/>
        <w:left w:val="none" w:sz="0" w:space="0" w:color="auto"/>
        <w:bottom w:val="none" w:sz="0" w:space="0" w:color="auto"/>
        <w:right w:val="none" w:sz="0" w:space="0" w:color="auto"/>
      </w:divBdr>
    </w:div>
    <w:div w:id="261649725">
      <w:bodyDiv w:val="1"/>
      <w:marLeft w:val="0"/>
      <w:marRight w:val="0"/>
      <w:marTop w:val="0"/>
      <w:marBottom w:val="0"/>
      <w:divBdr>
        <w:top w:val="none" w:sz="0" w:space="0" w:color="auto"/>
        <w:left w:val="none" w:sz="0" w:space="0" w:color="auto"/>
        <w:bottom w:val="none" w:sz="0" w:space="0" w:color="auto"/>
        <w:right w:val="none" w:sz="0" w:space="0" w:color="auto"/>
      </w:divBdr>
    </w:div>
    <w:div w:id="297490667">
      <w:bodyDiv w:val="1"/>
      <w:marLeft w:val="0"/>
      <w:marRight w:val="0"/>
      <w:marTop w:val="0"/>
      <w:marBottom w:val="0"/>
      <w:divBdr>
        <w:top w:val="none" w:sz="0" w:space="0" w:color="auto"/>
        <w:left w:val="none" w:sz="0" w:space="0" w:color="auto"/>
        <w:bottom w:val="none" w:sz="0" w:space="0" w:color="auto"/>
        <w:right w:val="none" w:sz="0" w:space="0" w:color="auto"/>
      </w:divBdr>
    </w:div>
    <w:div w:id="374741191">
      <w:bodyDiv w:val="1"/>
      <w:marLeft w:val="0"/>
      <w:marRight w:val="0"/>
      <w:marTop w:val="0"/>
      <w:marBottom w:val="0"/>
      <w:divBdr>
        <w:top w:val="none" w:sz="0" w:space="0" w:color="auto"/>
        <w:left w:val="none" w:sz="0" w:space="0" w:color="auto"/>
        <w:bottom w:val="none" w:sz="0" w:space="0" w:color="auto"/>
        <w:right w:val="none" w:sz="0" w:space="0" w:color="auto"/>
      </w:divBdr>
    </w:div>
    <w:div w:id="399599554">
      <w:bodyDiv w:val="1"/>
      <w:marLeft w:val="0"/>
      <w:marRight w:val="0"/>
      <w:marTop w:val="0"/>
      <w:marBottom w:val="0"/>
      <w:divBdr>
        <w:top w:val="none" w:sz="0" w:space="0" w:color="auto"/>
        <w:left w:val="none" w:sz="0" w:space="0" w:color="auto"/>
        <w:bottom w:val="none" w:sz="0" w:space="0" w:color="auto"/>
        <w:right w:val="none" w:sz="0" w:space="0" w:color="auto"/>
      </w:divBdr>
    </w:div>
    <w:div w:id="478420212">
      <w:bodyDiv w:val="1"/>
      <w:marLeft w:val="0"/>
      <w:marRight w:val="0"/>
      <w:marTop w:val="0"/>
      <w:marBottom w:val="0"/>
      <w:divBdr>
        <w:top w:val="none" w:sz="0" w:space="0" w:color="auto"/>
        <w:left w:val="none" w:sz="0" w:space="0" w:color="auto"/>
        <w:bottom w:val="none" w:sz="0" w:space="0" w:color="auto"/>
        <w:right w:val="none" w:sz="0" w:space="0" w:color="auto"/>
      </w:divBdr>
    </w:div>
    <w:div w:id="484904081">
      <w:bodyDiv w:val="1"/>
      <w:marLeft w:val="0"/>
      <w:marRight w:val="0"/>
      <w:marTop w:val="0"/>
      <w:marBottom w:val="0"/>
      <w:divBdr>
        <w:top w:val="none" w:sz="0" w:space="0" w:color="auto"/>
        <w:left w:val="none" w:sz="0" w:space="0" w:color="auto"/>
        <w:bottom w:val="none" w:sz="0" w:space="0" w:color="auto"/>
        <w:right w:val="none" w:sz="0" w:space="0" w:color="auto"/>
      </w:divBdr>
      <w:divsChild>
        <w:div w:id="976644608">
          <w:marLeft w:val="100"/>
          <w:marRight w:val="100"/>
          <w:marTop w:val="0"/>
          <w:marBottom w:val="0"/>
          <w:divBdr>
            <w:top w:val="none" w:sz="0" w:space="0" w:color="auto"/>
            <w:left w:val="none" w:sz="0" w:space="0" w:color="auto"/>
            <w:bottom w:val="none" w:sz="0" w:space="0" w:color="auto"/>
            <w:right w:val="none" w:sz="0" w:space="0" w:color="auto"/>
          </w:divBdr>
        </w:div>
      </w:divsChild>
    </w:div>
    <w:div w:id="492185752">
      <w:bodyDiv w:val="1"/>
      <w:marLeft w:val="0"/>
      <w:marRight w:val="0"/>
      <w:marTop w:val="0"/>
      <w:marBottom w:val="0"/>
      <w:divBdr>
        <w:top w:val="none" w:sz="0" w:space="0" w:color="auto"/>
        <w:left w:val="none" w:sz="0" w:space="0" w:color="auto"/>
        <w:bottom w:val="none" w:sz="0" w:space="0" w:color="auto"/>
        <w:right w:val="none" w:sz="0" w:space="0" w:color="auto"/>
      </w:divBdr>
    </w:div>
    <w:div w:id="494419523">
      <w:bodyDiv w:val="1"/>
      <w:marLeft w:val="0"/>
      <w:marRight w:val="0"/>
      <w:marTop w:val="0"/>
      <w:marBottom w:val="0"/>
      <w:divBdr>
        <w:top w:val="none" w:sz="0" w:space="0" w:color="auto"/>
        <w:left w:val="none" w:sz="0" w:space="0" w:color="auto"/>
        <w:bottom w:val="none" w:sz="0" w:space="0" w:color="auto"/>
        <w:right w:val="none" w:sz="0" w:space="0" w:color="auto"/>
      </w:divBdr>
    </w:div>
    <w:div w:id="496573963">
      <w:bodyDiv w:val="1"/>
      <w:marLeft w:val="0"/>
      <w:marRight w:val="0"/>
      <w:marTop w:val="0"/>
      <w:marBottom w:val="0"/>
      <w:divBdr>
        <w:top w:val="none" w:sz="0" w:space="0" w:color="auto"/>
        <w:left w:val="none" w:sz="0" w:space="0" w:color="auto"/>
        <w:bottom w:val="none" w:sz="0" w:space="0" w:color="auto"/>
        <w:right w:val="none" w:sz="0" w:space="0" w:color="auto"/>
      </w:divBdr>
    </w:div>
    <w:div w:id="500006064">
      <w:bodyDiv w:val="1"/>
      <w:marLeft w:val="0"/>
      <w:marRight w:val="0"/>
      <w:marTop w:val="0"/>
      <w:marBottom w:val="0"/>
      <w:divBdr>
        <w:top w:val="none" w:sz="0" w:space="0" w:color="auto"/>
        <w:left w:val="none" w:sz="0" w:space="0" w:color="auto"/>
        <w:bottom w:val="none" w:sz="0" w:space="0" w:color="auto"/>
        <w:right w:val="none" w:sz="0" w:space="0" w:color="auto"/>
      </w:divBdr>
    </w:div>
    <w:div w:id="536426806">
      <w:bodyDiv w:val="1"/>
      <w:marLeft w:val="0"/>
      <w:marRight w:val="0"/>
      <w:marTop w:val="0"/>
      <w:marBottom w:val="0"/>
      <w:divBdr>
        <w:top w:val="none" w:sz="0" w:space="0" w:color="auto"/>
        <w:left w:val="none" w:sz="0" w:space="0" w:color="auto"/>
        <w:bottom w:val="none" w:sz="0" w:space="0" w:color="auto"/>
        <w:right w:val="none" w:sz="0" w:space="0" w:color="auto"/>
      </w:divBdr>
    </w:div>
    <w:div w:id="542979486">
      <w:bodyDiv w:val="1"/>
      <w:marLeft w:val="0"/>
      <w:marRight w:val="0"/>
      <w:marTop w:val="0"/>
      <w:marBottom w:val="0"/>
      <w:divBdr>
        <w:top w:val="none" w:sz="0" w:space="0" w:color="auto"/>
        <w:left w:val="none" w:sz="0" w:space="0" w:color="auto"/>
        <w:bottom w:val="none" w:sz="0" w:space="0" w:color="auto"/>
        <w:right w:val="none" w:sz="0" w:space="0" w:color="auto"/>
      </w:divBdr>
    </w:div>
    <w:div w:id="546339951">
      <w:bodyDiv w:val="1"/>
      <w:marLeft w:val="0"/>
      <w:marRight w:val="0"/>
      <w:marTop w:val="0"/>
      <w:marBottom w:val="0"/>
      <w:divBdr>
        <w:top w:val="none" w:sz="0" w:space="0" w:color="auto"/>
        <w:left w:val="none" w:sz="0" w:space="0" w:color="auto"/>
        <w:bottom w:val="none" w:sz="0" w:space="0" w:color="auto"/>
        <w:right w:val="none" w:sz="0" w:space="0" w:color="auto"/>
      </w:divBdr>
    </w:div>
    <w:div w:id="631667962">
      <w:bodyDiv w:val="1"/>
      <w:marLeft w:val="0"/>
      <w:marRight w:val="0"/>
      <w:marTop w:val="0"/>
      <w:marBottom w:val="0"/>
      <w:divBdr>
        <w:top w:val="none" w:sz="0" w:space="0" w:color="auto"/>
        <w:left w:val="none" w:sz="0" w:space="0" w:color="auto"/>
        <w:bottom w:val="none" w:sz="0" w:space="0" w:color="auto"/>
        <w:right w:val="none" w:sz="0" w:space="0" w:color="auto"/>
      </w:divBdr>
    </w:div>
    <w:div w:id="644553852">
      <w:bodyDiv w:val="1"/>
      <w:marLeft w:val="0"/>
      <w:marRight w:val="0"/>
      <w:marTop w:val="0"/>
      <w:marBottom w:val="0"/>
      <w:divBdr>
        <w:top w:val="none" w:sz="0" w:space="0" w:color="auto"/>
        <w:left w:val="none" w:sz="0" w:space="0" w:color="auto"/>
        <w:bottom w:val="none" w:sz="0" w:space="0" w:color="auto"/>
        <w:right w:val="none" w:sz="0" w:space="0" w:color="auto"/>
      </w:divBdr>
    </w:div>
    <w:div w:id="658509675">
      <w:bodyDiv w:val="1"/>
      <w:marLeft w:val="0"/>
      <w:marRight w:val="0"/>
      <w:marTop w:val="0"/>
      <w:marBottom w:val="0"/>
      <w:divBdr>
        <w:top w:val="none" w:sz="0" w:space="0" w:color="auto"/>
        <w:left w:val="none" w:sz="0" w:space="0" w:color="auto"/>
        <w:bottom w:val="none" w:sz="0" w:space="0" w:color="auto"/>
        <w:right w:val="none" w:sz="0" w:space="0" w:color="auto"/>
      </w:divBdr>
    </w:div>
    <w:div w:id="695349600">
      <w:bodyDiv w:val="1"/>
      <w:marLeft w:val="0"/>
      <w:marRight w:val="0"/>
      <w:marTop w:val="0"/>
      <w:marBottom w:val="0"/>
      <w:divBdr>
        <w:top w:val="none" w:sz="0" w:space="0" w:color="auto"/>
        <w:left w:val="none" w:sz="0" w:space="0" w:color="auto"/>
        <w:bottom w:val="none" w:sz="0" w:space="0" w:color="auto"/>
        <w:right w:val="none" w:sz="0" w:space="0" w:color="auto"/>
      </w:divBdr>
    </w:div>
    <w:div w:id="766118728">
      <w:bodyDiv w:val="1"/>
      <w:marLeft w:val="0"/>
      <w:marRight w:val="0"/>
      <w:marTop w:val="0"/>
      <w:marBottom w:val="0"/>
      <w:divBdr>
        <w:top w:val="none" w:sz="0" w:space="0" w:color="auto"/>
        <w:left w:val="none" w:sz="0" w:space="0" w:color="auto"/>
        <w:bottom w:val="none" w:sz="0" w:space="0" w:color="auto"/>
        <w:right w:val="none" w:sz="0" w:space="0" w:color="auto"/>
      </w:divBdr>
    </w:div>
    <w:div w:id="819346805">
      <w:bodyDiv w:val="1"/>
      <w:marLeft w:val="0"/>
      <w:marRight w:val="0"/>
      <w:marTop w:val="0"/>
      <w:marBottom w:val="0"/>
      <w:divBdr>
        <w:top w:val="none" w:sz="0" w:space="0" w:color="auto"/>
        <w:left w:val="none" w:sz="0" w:space="0" w:color="auto"/>
        <w:bottom w:val="none" w:sz="0" w:space="0" w:color="auto"/>
        <w:right w:val="none" w:sz="0" w:space="0" w:color="auto"/>
      </w:divBdr>
    </w:div>
    <w:div w:id="829061838">
      <w:bodyDiv w:val="1"/>
      <w:marLeft w:val="0"/>
      <w:marRight w:val="0"/>
      <w:marTop w:val="0"/>
      <w:marBottom w:val="0"/>
      <w:divBdr>
        <w:top w:val="none" w:sz="0" w:space="0" w:color="auto"/>
        <w:left w:val="none" w:sz="0" w:space="0" w:color="auto"/>
        <w:bottom w:val="none" w:sz="0" w:space="0" w:color="auto"/>
        <w:right w:val="none" w:sz="0" w:space="0" w:color="auto"/>
      </w:divBdr>
    </w:div>
    <w:div w:id="836189452">
      <w:bodyDiv w:val="1"/>
      <w:marLeft w:val="0"/>
      <w:marRight w:val="0"/>
      <w:marTop w:val="0"/>
      <w:marBottom w:val="0"/>
      <w:divBdr>
        <w:top w:val="none" w:sz="0" w:space="0" w:color="auto"/>
        <w:left w:val="none" w:sz="0" w:space="0" w:color="auto"/>
        <w:bottom w:val="none" w:sz="0" w:space="0" w:color="auto"/>
        <w:right w:val="none" w:sz="0" w:space="0" w:color="auto"/>
      </w:divBdr>
    </w:div>
    <w:div w:id="844128655">
      <w:bodyDiv w:val="1"/>
      <w:marLeft w:val="0"/>
      <w:marRight w:val="0"/>
      <w:marTop w:val="0"/>
      <w:marBottom w:val="0"/>
      <w:divBdr>
        <w:top w:val="none" w:sz="0" w:space="0" w:color="auto"/>
        <w:left w:val="none" w:sz="0" w:space="0" w:color="auto"/>
        <w:bottom w:val="none" w:sz="0" w:space="0" w:color="auto"/>
        <w:right w:val="none" w:sz="0" w:space="0" w:color="auto"/>
      </w:divBdr>
    </w:div>
    <w:div w:id="904679219">
      <w:bodyDiv w:val="1"/>
      <w:marLeft w:val="0"/>
      <w:marRight w:val="0"/>
      <w:marTop w:val="0"/>
      <w:marBottom w:val="0"/>
      <w:divBdr>
        <w:top w:val="none" w:sz="0" w:space="0" w:color="auto"/>
        <w:left w:val="none" w:sz="0" w:space="0" w:color="auto"/>
        <w:bottom w:val="none" w:sz="0" w:space="0" w:color="auto"/>
        <w:right w:val="none" w:sz="0" w:space="0" w:color="auto"/>
      </w:divBdr>
    </w:div>
    <w:div w:id="945043659">
      <w:bodyDiv w:val="1"/>
      <w:marLeft w:val="0"/>
      <w:marRight w:val="0"/>
      <w:marTop w:val="0"/>
      <w:marBottom w:val="0"/>
      <w:divBdr>
        <w:top w:val="none" w:sz="0" w:space="0" w:color="auto"/>
        <w:left w:val="none" w:sz="0" w:space="0" w:color="auto"/>
        <w:bottom w:val="none" w:sz="0" w:space="0" w:color="auto"/>
        <w:right w:val="none" w:sz="0" w:space="0" w:color="auto"/>
      </w:divBdr>
    </w:div>
    <w:div w:id="945113079">
      <w:bodyDiv w:val="1"/>
      <w:marLeft w:val="0"/>
      <w:marRight w:val="0"/>
      <w:marTop w:val="0"/>
      <w:marBottom w:val="0"/>
      <w:divBdr>
        <w:top w:val="none" w:sz="0" w:space="0" w:color="auto"/>
        <w:left w:val="none" w:sz="0" w:space="0" w:color="auto"/>
        <w:bottom w:val="none" w:sz="0" w:space="0" w:color="auto"/>
        <w:right w:val="none" w:sz="0" w:space="0" w:color="auto"/>
      </w:divBdr>
    </w:div>
    <w:div w:id="1012802952">
      <w:bodyDiv w:val="1"/>
      <w:marLeft w:val="0"/>
      <w:marRight w:val="0"/>
      <w:marTop w:val="0"/>
      <w:marBottom w:val="0"/>
      <w:divBdr>
        <w:top w:val="none" w:sz="0" w:space="0" w:color="auto"/>
        <w:left w:val="none" w:sz="0" w:space="0" w:color="auto"/>
        <w:bottom w:val="none" w:sz="0" w:space="0" w:color="auto"/>
        <w:right w:val="none" w:sz="0" w:space="0" w:color="auto"/>
      </w:divBdr>
    </w:div>
    <w:div w:id="1137185425">
      <w:bodyDiv w:val="1"/>
      <w:marLeft w:val="0"/>
      <w:marRight w:val="0"/>
      <w:marTop w:val="0"/>
      <w:marBottom w:val="0"/>
      <w:divBdr>
        <w:top w:val="none" w:sz="0" w:space="0" w:color="auto"/>
        <w:left w:val="none" w:sz="0" w:space="0" w:color="auto"/>
        <w:bottom w:val="none" w:sz="0" w:space="0" w:color="auto"/>
        <w:right w:val="none" w:sz="0" w:space="0" w:color="auto"/>
      </w:divBdr>
    </w:div>
    <w:div w:id="1173765270">
      <w:bodyDiv w:val="1"/>
      <w:marLeft w:val="0"/>
      <w:marRight w:val="0"/>
      <w:marTop w:val="0"/>
      <w:marBottom w:val="0"/>
      <w:divBdr>
        <w:top w:val="none" w:sz="0" w:space="0" w:color="auto"/>
        <w:left w:val="none" w:sz="0" w:space="0" w:color="auto"/>
        <w:bottom w:val="none" w:sz="0" w:space="0" w:color="auto"/>
        <w:right w:val="none" w:sz="0" w:space="0" w:color="auto"/>
      </w:divBdr>
    </w:div>
    <w:div w:id="1180704825">
      <w:bodyDiv w:val="1"/>
      <w:marLeft w:val="0"/>
      <w:marRight w:val="0"/>
      <w:marTop w:val="0"/>
      <w:marBottom w:val="0"/>
      <w:divBdr>
        <w:top w:val="none" w:sz="0" w:space="0" w:color="auto"/>
        <w:left w:val="none" w:sz="0" w:space="0" w:color="auto"/>
        <w:bottom w:val="none" w:sz="0" w:space="0" w:color="auto"/>
        <w:right w:val="none" w:sz="0" w:space="0" w:color="auto"/>
      </w:divBdr>
    </w:div>
    <w:div w:id="1181774791">
      <w:bodyDiv w:val="1"/>
      <w:marLeft w:val="0"/>
      <w:marRight w:val="0"/>
      <w:marTop w:val="0"/>
      <w:marBottom w:val="0"/>
      <w:divBdr>
        <w:top w:val="none" w:sz="0" w:space="0" w:color="auto"/>
        <w:left w:val="none" w:sz="0" w:space="0" w:color="auto"/>
        <w:bottom w:val="none" w:sz="0" w:space="0" w:color="auto"/>
        <w:right w:val="none" w:sz="0" w:space="0" w:color="auto"/>
      </w:divBdr>
      <w:divsChild>
        <w:div w:id="1123421654">
          <w:marLeft w:val="0"/>
          <w:marRight w:val="0"/>
          <w:marTop w:val="0"/>
          <w:marBottom w:val="0"/>
          <w:divBdr>
            <w:top w:val="none" w:sz="0" w:space="0" w:color="auto"/>
            <w:left w:val="none" w:sz="0" w:space="0" w:color="auto"/>
            <w:bottom w:val="none" w:sz="0" w:space="0" w:color="auto"/>
            <w:right w:val="none" w:sz="0" w:space="0" w:color="auto"/>
          </w:divBdr>
        </w:div>
      </w:divsChild>
    </w:div>
    <w:div w:id="1199930866">
      <w:bodyDiv w:val="1"/>
      <w:marLeft w:val="0"/>
      <w:marRight w:val="0"/>
      <w:marTop w:val="0"/>
      <w:marBottom w:val="0"/>
      <w:divBdr>
        <w:top w:val="none" w:sz="0" w:space="0" w:color="auto"/>
        <w:left w:val="none" w:sz="0" w:space="0" w:color="auto"/>
        <w:bottom w:val="none" w:sz="0" w:space="0" w:color="auto"/>
        <w:right w:val="none" w:sz="0" w:space="0" w:color="auto"/>
      </w:divBdr>
    </w:div>
    <w:div w:id="1200623718">
      <w:bodyDiv w:val="1"/>
      <w:marLeft w:val="0"/>
      <w:marRight w:val="0"/>
      <w:marTop w:val="0"/>
      <w:marBottom w:val="0"/>
      <w:divBdr>
        <w:top w:val="none" w:sz="0" w:space="0" w:color="auto"/>
        <w:left w:val="none" w:sz="0" w:space="0" w:color="auto"/>
        <w:bottom w:val="none" w:sz="0" w:space="0" w:color="auto"/>
        <w:right w:val="none" w:sz="0" w:space="0" w:color="auto"/>
      </w:divBdr>
    </w:div>
    <w:div w:id="1266694137">
      <w:bodyDiv w:val="1"/>
      <w:marLeft w:val="0"/>
      <w:marRight w:val="0"/>
      <w:marTop w:val="0"/>
      <w:marBottom w:val="0"/>
      <w:divBdr>
        <w:top w:val="none" w:sz="0" w:space="0" w:color="auto"/>
        <w:left w:val="none" w:sz="0" w:space="0" w:color="auto"/>
        <w:bottom w:val="none" w:sz="0" w:space="0" w:color="auto"/>
        <w:right w:val="none" w:sz="0" w:space="0" w:color="auto"/>
      </w:divBdr>
    </w:div>
    <w:div w:id="1279533716">
      <w:bodyDiv w:val="1"/>
      <w:marLeft w:val="0"/>
      <w:marRight w:val="0"/>
      <w:marTop w:val="0"/>
      <w:marBottom w:val="0"/>
      <w:divBdr>
        <w:top w:val="none" w:sz="0" w:space="0" w:color="auto"/>
        <w:left w:val="none" w:sz="0" w:space="0" w:color="auto"/>
        <w:bottom w:val="none" w:sz="0" w:space="0" w:color="auto"/>
        <w:right w:val="none" w:sz="0" w:space="0" w:color="auto"/>
      </w:divBdr>
    </w:div>
    <w:div w:id="1301617078">
      <w:bodyDiv w:val="1"/>
      <w:marLeft w:val="0"/>
      <w:marRight w:val="0"/>
      <w:marTop w:val="0"/>
      <w:marBottom w:val="0"/>
      <w:divBdr>
        <w:top w:val="none" w:sz="0" w:space="0" w:color="auto"/>
        <w:left w:val="none" w:sz="0" w:space="0" w:color="auto"/>
        <w:bottom w:val="none" w:sz="0" w:space="0" w:color="auto"/>
        <w:right w:val="none" w:sz="0" w:space="0" w:color="auto"/>
      </w:divBdr>
    </w:div>
    <w:div w:id="1309634072">
      <w:bodyDiv w:val="1"/>
      <w:marLeft w:val="0"/>
      <w:marRight w:val="0"/>
      <w:marTop w:val="0"/>
      <w:marBottom w:val="0"/>
      <w:divBdr>
        <w:top w:val="none" w:sz="0" w:space="0" w:color="auto"/>
        <w:left w:val="none" w:sz="0" w:space="0" w:color="auto"/>
        <w:bottom w:val="none" w:sz="0" w:space="0" w:color="auto"/>
        <w:right w:val="none" w:sz="0" w:space="0" w:color="auto"/>
      </w:divBdr>
    </w:div>
    <w:div w:id="1344816049">
      <w:bodyDiv w:val="1"/>
      <w:marLeft w:val="0"/>
      <w:marRight w:val="0"/>
      <w:marTop w:val="0"/>
      <w:marBottom w:val="0"/>
      <w:divBdr>
        <w:top w:val="none" w:sz="0" w:space="0" w:color="auto"/>
        <w:left w:val="none" w:sz="0" w:space="0" w:color="auto"/>
        <w:bottom w:val="none" w:sz="0" w:space="0" w:color="auto"/>
        <w:right w:val="none" w:sz="0" w:space="0" w:color="auto"/>
      </w:divBdr>
    </w:div>
    <w:div w:id="1361591488">
      <w:bodyDiv w:val="1"/>
      <w:marLeft w:val="0"/>
      <w:marRight w:val="0"/>
      <w:marTop w:val="0"/>
      <w:marBottom w:val="0"/>
      <w:divBdr>
        <w:top w:val="none" w:sz="0" w:space="0" w:color="auto"/>
        <w:left w:val="none" w:sz="0" w:space="0" w:color="auto"/>
        <w:bottom w:val="none" w:sz="0" w:space="0" w:color="auto"/>
        <w:right w:val="none" w:sz="0" w:space="0" w:color="auto"/>
      </w:divBdr>
    </w:div>
    <w:div w:id="1365400994">
      <w:bodyDiv w:val="1"/>
      <w:marLeft w:val="0"/>
      <w:marRight w:val="0"/>
      <w:marTop w:val="0"/>
      <w:marBottom w:val="0"/>
      <w:divBdr>
        <w:top w:val="none" w:sz="0" w:space="0" w:color="auto"/>
        <w:left w:val="none" w:sz="0" w:space="0" w:color="auto"/>
        <w:bottom w:val="none" w:sz="0" w:space="0" w:color="auto"/>
        <w:right w:val="none" w:sz="0" w:space="0" w:color="auto"/>
      </w:divBdr>
    </w:div>
    <w:div w:id="1394085802">
      <w:bodyDiv w:val="1"/>
      <w:marLeft w:val="0"/>
      <w:marRight w:val="0"/>
      <w:marTop w:val="0"/>
      <w:marBottom w:val="0"/>
      <w:divBdr>
        <w:top w:val="none" w:sz="0" w:space="0" w:color="auto"/>
        <w:left w:val="none" w:sz="0" w:space="0" w:color="auto"/>
        <w:bottom w:val="none" w:sz="0" w:space="0" w:color="auto"/>
        <w:right w:val="none" w:sz="0" w:space="0" w:color="auto"/>
      </w:divBdr>
    </w:div>
    <w:div w:id="1415322846">
      <w:bodyDiv w:val="1"/>
      <w:marLeft w:val="0"/>
      <w:marRight w:val="0"/>
      <w:marTop w:val="0"/>
      <w:marBottom w:val="0"/>
      <w:divBdr>
        <w:top w:val="none" w:sz="0" w:space="0" w:color="auto"/>
        <w:left w:val="none" w:sz="0" w:space="0" w:color="auto"/>
        <w:bottom w:val="none" w:sz="0" w:space="0" w:color="auto"/>
        <w:right w:val="none" w:sz="0" w:space="0" w:color="auto"/>
      </w:divBdr>
    </w:div>
    <w:div w:id="1418556264">
      <w:bodyDiv w:val="1"/>
      <w:marLeft w:val="0"/>
      <w:marRight w:val="0"/>
      <w:marTop w:val="0"/>
      <w:marBottom w:val="0"/>
      <w:divBdr>
        <w:top w:val="none" w:sz="0" w:space="0" w:color="auto"/>
        <w:left w:val="none" w:sz="0" w:space="0" w:color="auto"/>
        <w:bottom w:val="none" w:sz="0" w:space="0" w:color="auto"/>
        <w:right w:val="none" w:sz="0" w:space="0" w:color="auto"/>
      </w:divBdr>
    </w:div>
    <w:div w:id="1460761580">
      <w:bodyDiv w:val="1"/>
      <w:marLeft w:val="0"/>
      <w:marRight w:val="0"/>
      <w:marTop w:val="0"/>
      <w:marBottom w:val="0"/>
      <w:divBdr>
        <w:top w:val="none" w:sz="0" w:space="0" w:color="auto"/>
        <w:left w:val="none" w:sz="0" w:space="0" w:color="auto"/>
        <w:bottom w:val="none" w:sz="0" w:space="0" w:color="auto"/>
        <w:right w:val="none" w:sz="0" w:space="0" w:color="auto"/>
      </w:divBdr>
    </w:div>
    <w:div w:id="1463496885">
      <w:bodyDiv w:val="1"/>
      <w:marLeft w:val="0"/>
      <w:marRight w:val="0"/>
      <w:marTop w:val="0"/>
      <w:marBottom w:val="0"/>
      <w:divBdr>
        <w:top w:val="none" w:sz="0" w:space="0" w:color="auto"/>
        <w:left w:val="none" w:sz="0" w:space="0" w:color="auto"/>
        <w:bottom w:val="none" w:sz="0" w:space="0" w:color="auto"/>
        <w:right w:val="none" w:sz="0" w:space="0" w:color="auto"/>
      </w:divBdr>
      <w:divsChild>
        <w:div w:id="639265128">
          <w:marLeft w:val="100"/>
          <w:marRight w:val="100"/>
          <w:marTop w:val="0"/>
          <w:marBottom w:val="0"/>
          <w:divBdr>
            <w:top w:val="none" w:sz="0" w:space="0" w:color="auto"/>
            <w:left w:val="none" w:sz="0" w:space="0" w:color="auto"/>
            <w:bottom w:val="none" w:sz="0" w:space="0" w:color="auto"/>
            <w:right w:val="none" w:sz="0" w:space="0" w:color="auto"/>
          </w:divBdr>
        </w:div>
      </w:divsChild>
    </w:div>
    <w:div w:id="1529443877">
      <w:bodyDiv w:val="1"/>
      <w:marLeft w:val="0"/>
      <w:marRight w:val="0"/>
      <w:marTop w:val="0"/>
      <w:marBottom w:val="0"/>
      <w:divBdr>
        <w:top w:val="none" w:sz="0" w:space="0" w:color="auto"/>
        <w:left w:val="none" w:sz="0" w:space="0" w:color="auto"/>
        <w:bottom w:val="none" w:sz="0" w:space="0" w:color="auto"/>
        <w:right w:val="none" w:sz="0" w:space="0" w:color="auto"/>
      </w:divBdr>
      <w:divsChild>
        <w:div w:id="248277732">
          <w:marLeft w:val="100"/>
          <w:marRight w:val="100"/>
          <w:marTop w:val="0"/>
          <w:marBottom w:val="0"/>
          <w:divBdr>
            <w:top w:val="none" w:sz="0" w:space="0" w:color="auto"/>
            <w:left w:val="none" w:sz="0" w:space="0" w:color="auto"/>
            <w:bottom w:val="none" w:sz="0" w:space="0" w:color="auto"/>
            <w:right w:val="none" w:sz="0" w:space="0" w:color="auto"/>
          </w:divBdr>
        </w:div>
      </w:divsChild>
    </w:div>
    <w:div w:id="1653095071">
      <w:bodyDiv w:val="1"/>
      <w:marLeft w:val="0"/>
      <w:marRight w:val="0"/>
      <w:marTop w:val="0"/>
      <w:marBottom w:val="0"/>
      <w:divBdr>
        <w:top w:val="none" w:sz="0" w:space="0" w:color="auto"/>
        <w:left w:val="none" w:sz="0" w:space="0" w:color="auto"/>
        <w:bottom w:val="none" w:sz="0" w:space="0" w:color="auto"/>
        <w:right w:val="none" w:sz="0" w:space="0" w:color="auto"/>
      </w:divBdr>
    </w:div>
    <w:div w:id="1659311286">
      <w:bodyDiv w:val="1"/>
      <w:marLeft w:val="0"/>
      <w:marRight w:val="0"/>
      <w:marTop w:val="0"/>
      <w:marBottom w:val="0"/>
      <w:divBdr>
        <w:top w:val="none" w:sz="0" w:space="0" w:color="auto"/>
        <w:left w:val="none" w:sz="0" w:space="0" w:color="auto"/>
        <w:bottom w:val="none" w:sz="0" w:space="0" w:color="auto"/>
        <w:right w:val="none" w:sz="0" w:space="0" w:color="auto"/>
      </w:divBdr>
    </w:div>
    <w:div w:id="1684015110">
      <w:bodyDiv w:val="1"/>
      <w:marLeft w:val="0"/>
      <w:marRight w:val="0"/>
      <w:marTop w:val="0"/>
      <w:marBottom w:val="0"/>
      <w:divBdr>
        <w:top w:val="none" w:sz="0" w:space="0" w:color="auto"/>
        <w:left w:val="none" w:sz="0" w:space="0" w:color="auto"/>
        <w:bottom w:val="none" w:sz="0" w:space="0" w:color="auto"/>
        <w:right w:val="none" w:sz="0" w:space="0" w:color="auto"/>
      </w:divBdr>
    </w:div>
    <w:div w:id="1689135156">
      <w:bodyDiv w:val="1"/>
      <w:marLeft w:val="0"/>
      <w:marRight w:val="0"/>
      <w:marTop w:val="0"/>
      <w:marBottom w:val="0"/>
      <w:divBdr>
        <w:top w:val="none" w:sz="0" w:space="0" w:color="auto"/>
        <w:left w:val="none" w:sz="0" w:space="0" w:color="auto"/>
        <w:bottom w:val="none" w:sz="0" w:space="0" w:color="auto"/>
        <w:right w:val="none" w:sz="0" w:space="0" w:color="auto"/>
      </w:divBdr>
    </w:div>
    <w:div w:id="1694263408">
      <w:bodyDiv w:val="1"/>
      <w:marLeft w:val="0"/>
      <w:marRight w:val="0"/>
      <w:marTop w:val="0"/>
      <w:marBottom w:val="0"/>
      <w:divBdr>
        <w:top w:val="none" w:sz="0" w:space="0" w:color="auto"/>
        <w:left w:val="none" w:sz="0" w:space="0" w:color="auto"/>
        <w:bottom w:val="none" w:sz="0" w:space="0" w:color="auto"/>
        <w:right w:val="none" w:sz="0" w:space="0" w:color="auto"/>
      </w:divBdr>
    </w:div>
    <w:div w:id="1704986157">
      <w:bodyDiv w:val="1"/>
      <w:marLeft w:val="0"/>
      <w:marRight w:val="0"/>
      <w:marTop w:val="0"/>
      <w:marBottom w:val="0"/>
      <w:divBdr>
        <w:top w:val="none" w:sz="0" w:space="0" w:color="auto"/>
        <w:left w:val="none" w:sz="0" w:space="0" w:color="auto"/>
        <w:bottom w:val="none" w:sz="0" w:space="0" w:color="auto"/>
        <w:right w:val="none" w:sz="0" w:space="0" w:color="auto"/>
      </w:divBdr>
    </w:div>
    <w:div w:id="1724981954">
      <w:bodyDiv w:val="1"/>
      <w:marLeft w:val="0"/>
      <w:marRight w:val="0"/>
      <w:marTop w:val="0"/>
      <w:marBottom w:val="0"/>
      <w:divBdr>
        <w:top w:val="none" w:sz="0" w:space="0" w:color="auto"/>
        <w:left w:val="none" w:sz="0" w:space="0" w:color="auto"/>
        <w:bottom w:val="none" w:sz="0" w:space="0" w:color="auto"/>
        <w:right w:val="none" w:sz="0" w:space="0" w:color="auto"/>
      </w:divBdr>
      <w:divsChild>
        <w:div w:id="58602859">
          <w:marLeft w:val="0"/>
          <w:marRight w:val="0"/>
          <w:marTop w:val="0"/>
          <w:marBottom w:val="0"/>
          <w:divBdr>
            <w:top w:val="none" w:sz="0" w:space="0" w:color="auto"/>
            <w:left w:val="none" w:sz="0" w:space="0" w:color="auto"/>
            <w:bottom w:val="none" w:sz="0" w:space="0" w:color="auto"/>
            <w:right w:val="none" w:sz="0" w:space="0" w:color="auto"/>
          </w:divBdr>
          <w:divsChild>
            <w:div w:id="1027945452">
              <w:marLeft w:val="0"/>
              <w:marRight w:val="0"/>
              <w:marTop w:val="0"/>
              <w:marBottom w:val="0"/>
              <w:divBdr>
                <w:top w:val="none" w:sz="0" w:space="0" w:color="auto"/>
                <w:left w:val="none" w:sz="0" w:space="0" w:color="auto"/>
                <w:bottom w:val="none" w:sz="0" w:space="0" w:color="auto"/>
                <w:right w:val="none" w:sz="0" w:space="0" w:color="auto"/>
              </w:divBdr>
            </w:div>
          </w:divsChild>
        </w:div>
        <w:div w:id="337540102">
          <w:marLeft w:val="0"/>
          <w:marRight w:val="0"/>
          <w:marTop w:val="0"/>
          <w:marBottom w:val="0"/>
          <w:divBdr>
            <w:top w:val="none" w:sz="0" w:space="0" w:color="auto"/>
            <w:left w:val="none" w:sz="0" w:space="0" w:color="auto"/>
            <w:bottom w:val="none" w:sz="0" w:space="0" w:color="auto"/>
            <w:right w:val="none" w:sz="0" w:space="0" w:color="auto"/>
          </w:divBdr>
          <w:divsChild>
            <w:div w:id="1911620282">
              <w:marLeft w:val="0"/>
              <w:marRight w:val="0"/>
              <w:marTop w:val="0"/>
              <w:marBottom w:val="0"/>
              <w:divBdr>
                <w:top w:val="none" w:sz="0" w:space="0" w:color="auto"/>
                <w:left w:val="none" w:sz="0" w:space="0" w:color="auto"/>
                <w:bottom w:val="none" w:sz="0" w:space="0" w:color="auto"/>
                <w:right w:val="none" w:sz="0" w:space="0" w:color="auto"/>
              </w:divBdr>
            </w:div>
          </w:divsChild>
        </w:div>
        <w:div w:id="1769230721">
          <w:marLeft w:val="0"/>
          <w:marRight w:val="0"/>
          <w:marTop w:val="0"/>
          <w:marBottom w:val="0"/>
          <w:divBdr>
            <w:top w:val="none" w:sz="0" w:space="0" w:color="auto"/>
            <w:left w:val="none" w:sz="0" w:space="0" w:color="auto"/>
            <w:bottom w:val="none" w:sz="0" w:space="0" w:color="auto"/>
            <w:right w:val="none" w:sz="0" w:space="0" w:color="auto"/>
          </w:divBdr>
          <w:divsChild>
            <w:div w:id="1858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889">
      <w:bodyDiv w:val="1"/>
      <w:marLeft w:val="0"/>
      <w:marRight w:val="0"/>
      <w:marTop w:val="0"/>
      <w:marBottom w:val="0"/>
      <w:divBdr>
        <w:top w:val="none" w:sz="0" w:space="0" w:color="auto"/>
        <w:left w:val="none" w:sz="0" w:space="0" w:color="auto"/>
        <w:bottom w:val="none" w:sz="0" w:space="0" w:color="auto"/>
        <w:right w:val="none" w:sz="0" w:space="0" w:color="auto"/>
      </w:divBdr>
      <w:divsChild>
        <w:div w:id="64374681">
          <w:marLeft w:val="446"/>
          <w:marRight w:val="0"/>
          <w:marTop w:val="0"/>
          <w:marBottom w:val="0"/>
          <w:divBdr>
            <w:top w:val="none" w:sz="0" w:space="0" w:color="auto"/>
            <w:left w:val="none" w:sz="0" w:space="0" w:color="auto"/>
            <w:bottom w:val="none" w:sz="0" w:space="0" w:color="auto"/>
            <w:right w:val="none" w:sz="0" w:space="0" w:color="auto"/>
          </w:divBdr>
        </w:div>
      </w:divsChild>
    </w:div>
    <w:div w:id="1873690364">
      <w:bodyDiv w:val="1"/>
      <w:marLeft w:val="0"/>
      <w:marRight w:val="0"/>
      <w:marTop w:val="0"/>
      <w:marBottom w:val="0"/>
      <w:divBdr>
        <w:top w:val="none" w:sz="0" w:space="0" w:color="auto"/>
        <w:left w:val="none" w:sz="0" w:space="0" w:color="auto"/>
        <w:bottom w:val="none" w:sz="0" w:space="0" w:color="auto"/>
        <w:right w:val="none" w:sz="0" w:space="0" w:color="auto"/>
      </w:divBdr>
    </w:div>
    <w:div w:id="1877545728">
      <w:bodyDiv w:val="1"/>
      <w:marLeft w:val="0"/>
      <w:marRight w:val="0"/>
      <w:marTop w:val="0"/>
      <w:marBottom w:val="0"/>
      <w:divBdr>
        <w:top w:val="none" w:sz="0" w:space="0" w:color="auto"/>
        <w:left w:val="none" w:sz="0" w:space="0" w:color="auto"/>
        <w:bottom w:val="none" w:sz="0" w:space="0" w:color="auto"/>
        <w:right w:val="none" w:sz="0" w:space="0" w:color="auto"/>
      </w:divBdr>
    </w:div>
    <w:div w:id="1898785459">
      <w:bodyDiv w:val="1"/>
      <w:marLeft w:val="0"/>
      <w:marRight w:val="0"/>
      <w:marTop w:val="0"/>
      <w:marBottom w:val="0"/>
      <w:divBdr>
        <w:top w:val="none" w:sz="0" w:space="0" w:color="auto"/>
        <w:left w:val="none" w:sz="0" w:space="0" w:color="auto"/>
        <w:bottom w:val="none" w:sz="0" w:space="0" w:color="auto"/>
        <w:right w:val="none" w:sz="0" w:space="0" w:color="auto"/>
      </w:divBdr>
    </w:div>
    <w:div w:id="1916890872">
      <w:bodyDiv w:val="1"/>
      <w:marLeft w:val="0"/>
      <w:marRight w:val="0"/>
      <w:marTop w:val="0"/>
      <w:marBottom w:val="0"/>
      <w:divBdr>
        <w:top w:val="none" w:sz="0" w:space="0" w:color="auto"/>
        <w:left w:val="none" w:sz="0" w:space="0" w:color="auto"/>
        <w:bottom w:val="none" w:sz="0" w:space="0" w:color="auto"/>
        <w:right w:val="none" w:sz="0" w:space="0" w:color="auto"/>
      </w:divBdr>
    </w:div>
    <w:div w:id="1938901787">
      <w:bodyDiv w:val="1"/>
      <w:marLeft w:val="0"/>
      <w:marRight w:val="0"/>
      <w:marTop w:val="0"/>
      <w:marBottom w:val="0"/>
      <w:divBdr>
        <w:top w:val="none" w:sz="0" w:space="0" w:color="auto"/>
        <w:left w:val="none" w:sz="0" w:space="0" w:color="auto"/>
        <w:bottom w:val="none" w:sz="0" w:space="0" w:color="auto"/>
        <w:right w:val="none" w:sz="0" w:space="0" w:color="auto"/>
      </w:divBdr>
    </w:div>
    <w:div w:id="1975409017">
      <w:bodyDiv w:val="1"/>
      <w:marLeft w:val="0"/>
      <w:marRight w:val="0"/>
      <w:marTop w:val="0"/>
      <w:marBottom w:val="0"/>
      <w:divBdr>
        <w:top w:val="none" w:sz="0" w:space="0" w:color="auto"/>
        <w:left w:val="none" w:sz="0" w:space="0" w:color="auto"/>
        <w:bottom w:val="none" w:sz="0" w:space="0" w:color="auto"/>
        <w:right w:val="none" w:sz="0" w:space="0" w:color="auto"/>
      </w:divBdr>
    </w:div>
    <w:div w:id="1981692897">
      <w:bodyDiv w:val="1"/>
      <w:marLeft w:val="0"/>
      <w:marRight w:val="0"/>
      <w:marTop w:val="0"/>
      <w:marBottom w:val="0"/>
      <w:divBdr>
        <w:top w:val="none" w:sz="0" w:space="0" w:color="auto"/>
        <w:left w:val="none" w:sz="0" w:space="0" w:color="auto"/>
        <w:bottom w:val="none" w:sz="0" w:space="0" w:color="auto"/>
        <w:right w:val="none" w:sz="0" w:space="0" w:color="auto"/>
      </w:divBdr>
    </w:div>
    <w:div w:id="1983732913">
      <w:bodyDiv w:val="1"/>
      <w:marLeft w:val="0"/>
      <w:marRight w:val="0"/>
      <w:marTop w:val="0"/>
      <w:marBottom w:val="0"/>
      <w:divBdr>
        <w:top w:val="none" w:sz="0" w:space="0" w:color="auto"/>
        <w:left w:val="none" w:sz="0" w:space="0" w:color="auto"/>
        <w:bottom w:val="none" w:sz="0" w:space="0" w:color="auto"/>
        <w:right w:val="none" w:sz="0" w:space="0" w:color="auto"/>
      </w:divBdr>
    </w:div>
    <w:div w:id="2002191451">
      <w:bodyDiv w:val="1"/>
      <w:marLeft w:val="0"/>
      <w:marRight w:val="0"/>
      <w:marTop w:val="0"/>
      <w:marBottom w:val="0"/>
      <w:divBdr>
        <w:top w:val="none" w:sz="0" w:space="0" w:color="auto"/>
        <w:left w:val="none" w:sz="0" w:space="0" w:color="auto"/>
        <w:bottom w:val="none" w:sz="0" w:space="0" w:color="auto"/>
        <w:right w:val="none" w:sz="0" w:space="0" w:color="auto"/>
      </w:divBdr>
      <w:divsChild>
        <w:div w:id="2011980166">
          <w:marLeft w:val="0"/>
          <w:marRight w:val="0"/>
          <w:marTop w:val="0"/>
          <w:marBottom w:val="0"/>
          <w:divBdr>
            <w:top w:val="none" w:sz="0" w:space="0" w:color="auto"/>
            <w:left w:val="none" w:sz="0" w:space="0" w:color="auto"/>
            <w:bottom w:val="none" w:sz="0" w:space="0" w:color="auto"/>
            <w:right w:val="none" w:sz="0" w:space="0" w:color="auto"/>
          </w:divBdr>
        </w:div>
      </w:divsChild>
    </w:div>
    <w:div w:id="2025281468">
      <w:bodyDiv w:val="1"/>
      <w:marLeft w:val="0"/>
      <w:marRight w:val="0"/>
      <w:marTop w:val="0"/>
      <w:marBottom w:val="0"/>
      <w:divBdr>
        <w:top w:val="none" w:sz="0" w:space="0" w:color="auto"/>
        <w:left w:val="none" w:sz="0" w:space="0" w:color="auto"/>
        <w:bottom w:val="none" w:sz="0" w:space="0" w:color="auto"/>
        <w:right w:val="none" w:sz="0" w:space="0" w:color="auto"/>
      </w:divBdr>
    </w:div>
    <w:div w:id="2041205071">
      <w:bodyDiv w:val="1"/>
      <w:marLeft w:val="0"/>
      <w:marRight w:val="0"/>
      <w:marTop w:val="0"/>
      <w:marBottom w:val="0"/>
      <w:divBdr>
        <w:top w:val="none" w:sz="0" w:space="0" w:color="auto"/>
        <w:left w:val="none" w:sz="0" w:space="0" w:color="auto"/>
        <w:bottom w:val="none" w:sz="0" w:space="0" w:color="auto"/>
        <w:right w:val="none" w:sz="0" w:space="0" w:color="auto"/>
      </w:divBdr>
    </w:div>
    <w:div w:id="2055539733">
      <w:bodyDiv w:val="1"/>
      <w:marLeft w:val="0"/>
      <w:marRight w:val="0"/>
      <w:marTop w:val="0"/>
      <w:marBottom w:val="0"/>
      <w:divBdr>
        <w:top w:val="none" w:sz="0" w:space="0" w:color="auto"/>
        <w:left w:val="none" w:sz="0" w:space="0" w:color="auto"/>
        <w:bottom w:val="none" w:sz="0" w:space="0" w:color="auto"/>
        <w:right w:val="none" w:sz="0" w:space="0" w:color="auto"/>
      </w:divBdr>
    </w:div>
    <w:div w:id="2061442136">
      <w:bodyDiv w:val="1"/>
      <w:marLeft w:val="0"/>
      <w:marRight w:val="0"/>
      <w:marTop w:val="0"/>
      <w:marBottom w:val="0"/>
      <w:divBdr>
        <w:top w:val="none" w:sz="0" w:space="0" w:color="auto"/>
        <w:left w:val="none" w:sz="0" w:space="0" w:color="auto"/>
        <w:bottom w:val="none" w:sz="0" w:space="0" w:color="auto"/>
        <w:right w:val="none" w:sz="0" w:space="0" w:color="auto"/>
      </w:divBdr>
    </w:div>
    <w:div w:id="2094862377">
      <w:bodyDiv w:val="1"/>
      <w:marLeft w:val="0"/>
      <w:marRight w:val="0"/>
      <w:marTop w:val="0"/>
      <w:marBottom w:val="0"/>
      <w:divBdr>
        <w:top w:val="none" w:sz="0" w:space="0" w:color="auto"/>
        <w:left w:val="none" w:sz="0" w:space="0" w:color="auto"/>
        <w:bottom w:val="none" w:sz="0" w:space="0" w:color="auto"/>
        <w:right w:val="none" w:sz="0" w:space="0" w:color="auto"/>
      </w:divBdr>
    </w:div>
    <w:div w:id="2097046574">
      <w:bodyDiv w:val="1"/>
      <w:marLeft w:val="0"/>
      <w:marRight w:val="0"/>
      <w:marTop w:val="0"/>
      <w:marBottom w:val="0"/>
      <w:divBdr>
        <w:top w:val="none" w:sz="0" w:space="0" w:color="auto"/>
        <w:left w:val="none" w:sz="0" w:space="0" w:color="auto"/>
        <w:bottom w:val="none" w:sz="0" w:space="0" w:color="auto"/>
        <w:right w:val="none" w:sz="0" w:space="0" w:color="auto"/>
      </w:divBdr>
      <w:divsChild>
        <w:div w:id="166403130">
          <w:marLeft w:val="0"/>
          <w:marRight w:val="0"/>
          <w:marTop w:val="0"/>
          <w:marBottom w:val="0"/>
          <w:divBdr>
            <w:top w:val="none" w:sz="0" w:space="0" w:color="auto"/>
            <w:left w:val="none" w:sz="0" w:space="0" w:color="auto"/>
            <w:bottom w:val="none" w:sz="0" w:space="0" w:color="auto"/>
            <w:right w:val="none" w:sz="0" w:space="0" w:color="auto"/>
          </w:divBdr>
          <w:divsChild>
            <w:div w:id="1575123460">
              <w:marLeft w:val="0"/>
              <w:marRight w:val="0"/>
              <w:marTop w:val="0"/>
              <w:marBottom w:val="0"/>
              <w:divBdr>
                <w:top w:val="none" w:sz="0" w:space="0" w:color="auto"/>
                <w:left w:val="none" w:sz="0" w:space="0" w:color="auto"/>
                <w:bottom w:val="none" w:sz="0" w:space="0" w:color="auto"/>
                <w:right w:val="none" w:sz="0" w:space="0" w:color="auto"/>
              </w:divBdr>
            </w:div>
          </w:divsChild>
        </w:div>
        <w:div w:id="1967273570">
          <w:marLeft w:val="0"/>
          <w:marRight w:val="0"/>
          <w:marTop w:val="0"/>
          <w:marBottom w:val="0"/>
          <w:divBdr>
            <w:top w:val="none" w:sz="0" w:space="0" w:color="auto"/>
            <w:left w:val="none" w:sz="0" w:space="0" w:color="auto"/>
            <w:bottom w:val="none" w:sz="0" w:space="0" w:color="auto"/>
            <w:right w:val="none" w:sz="0" w:space="0" w:color="auto"/>
          </w:divBdr>
          <w:divsChild>
            <w:div w:id="1370031054">
              <w:marLeft w:val="0"/>
              <w:marRight w:val="0"/>
              <w:marTop w:val="0"/>
              <w:marBottom w:val="0"/>
              <w:divBdr>
                <w:top w:val="none" w:sz="0" w:space="0" w:color="auto"/>
                <w:left w:val="none" w:sz="0" w:space="0" w:color="auto"/>
                <w:bottom w:val="none" w:sz="0" w:space="0" w:color="auto"/>
                <w:right w:val="none" w:sz="0" w:space="0" w:color="auto"/>
              </w:divBdr>
            </w:div>
          </w:divsChild>
        </w:div>
        <w:div w:id="2146580590">
          <w:marLeft w:val="0"/>
          <w:marRight w:val="0"/>
          <w:marTop w:val="0"/>
          <w:marBottom w:val="0"/>
          <w:divBdr>
            <w:top w:val="none" w:sz="0" w:space="0" w:color="auto"/>
            <w:left w:val="none" w:sz="0" w:space="0" w:color="auto"/>
            <w:bottom w:val="none" w:sz="0" w:space="0" w:color="auto"/>
            <w:right w:val="none" w:sz="0" w:space="0" w:color="auto"/>
          </w:divBdr>
          <w:divsChild>
            <w:div w:id="18407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1191">
      <w:bodyDiv w:val="1"/>
      <w:marLeft w:val="0"/>
      <w:marRight w:val="0"/>
      <w:marTop w:val="0"/>
      <w:marBottom w:val="0"/>
      <w:divBdr>
        <w:top w:val="none" w:sz="0" w:space="0" w:color="auto"/>
        <w:left w:val="none" w:sz="0" w:space="0" w:color="auto"/>
        <w:bottom w:val="none" w:sz="0" w:space="0" w:color="auto"/>
        <w:right w:val="none" w:sz="0" w:space="0" w:color="auto"/>
      </w:divBdr>
    </w:div>
    <w:div w:id="213799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1EA32-B7CC-4C8C-97E6-4C6FE26AF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3047</Words>
  <Characters>16459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Machado di Tommaso Bastos</dc:creator>
  <cp:keywords/>
  <dc:description/>
  <cp:lastModifiedBy>Andressa Rodrigues de Souza</cp:lastModifiedBy>
  <cp:revision>2</cp:revision>
  <cp:lastPrinted>2021-03-08T13:34:00Z</cp:lastPrinted>
  <dcterms:created xsi:type="dcterms:W3CDTF">2023-06-27T19:42:00Z</dcterms:created>
  <dcterms:modified xsi:type="dcterms:W3CDTF">2023-06-27T19:42:00Z</dcterms:modified>
</cp:coreProperties>
</file>