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0C" w:rsidRDefault="003C2B7F">
      <w:pPr>
        <w:spacing w:after="216" w:line="259" w:lineRule="auto"/>
        <w:ind w:left="2259" w:right="0" w:firstLine="0"/>
        <w:jc w:val="left"/>
      </w:pPr>
      <w:bookmarkStart w:id="0" w:name="_GoBack"/>
      <w:bookmarkEnd w:id="0"/>
      <w:r>
        <w:rPr>
          <w:b/>
          <w:sz w:val="24"/>
          <w:u w:val="single" w:color="000000"/>
        </w:rPr>
        <w:t>ANEXO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II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-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LISTA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DE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VERIFICAÇÃO</w:t>
      </w:r>
      <w:r>
        <w:rPr>
          <w:b/>
          <w:sz w:val="19"/>
          <w:u w:val="single" w:color="000000"/>
        </w:rPr>
        <w:t xml:space="preserve"> </w:t>
      </w:r>
      <w:r>
        <w:rPr>
          <w:b/>
          <w:sz w:val="24"/>
          <w:u w:val="single" w:color="000000"/>
        </w:rPr>
        <w:t>(</w:t>
      </w:r>
      <w:r>
        <w:rPr>
          <w:b/>
          <w:i/>
          <w:sz w:val="24"/>
          <w:u w:val="single" w:color="000000"/>
        </w:rPr>
        <w:t>CHECKLIST</w:t>
      </w:r>
      <w:r>
        <w:rPr>
          <w:b/>
          <w:sz w:val="24"/>
          <w:u w:val="single" w:color="000000"/>
        </w:rPr>
        <w:t>)</w:t>
      </w:r>
      <w:r>
        <w:rPr>
          <w:b/>
          <w:sz w:val="24"/>
        </w:rPr>
        <w:t xml:space="preserve"> </w:t>
      </w:r>
    </w:p>
    <w:p w:rsidR="00F2380C" w:rsidRDefault="003C2B7F">
      <w:pPr>
        <w:spacing w:after="0"/>
        <w:ind w:left="0" w:right="0" w:firstLine="0"/>
        <w:jc w:val="center"/>
      </w:pPr>
      <w:r>
        <w:rPr>
          <w:b/>
        </w:rPr>
        <w:t>COMPRA</w:t>
      </w:r>
      <w:r>
        <w:rPr>
          <w:b/>
          <w:sz w:val="18"/>
        </w:rPr>
        <w:t xml:space="preserve"> </w:t>
      </w:r>
      <w:r>
        <w:rPr>
          <w:b/>
        </w:rPr>
        <w:t>DE</w:t>
      </w:r>
      <w:r>
        <w:rPr>
          <w:b/>
          <w:sz w:val="18"/>
        </w:rPr>
        <w:t xml:space="preserve"> </w:t>
      </w:r>
      <w:r>
        <w:rPr>
          <w:b/>
        </w:rPr>
        <w:t>BENS</w:t>
      </w:r>
      <w:r>
        <w:rPr>
          <w:b/>
          <w:sz w:val="18"/>
        </w:rPr>
        <w:t xml:space="preserve"> </w:t>
      </w:r>
      <w:r>
        <w:rPr>
          <w:b/>
        </w:rPr>
        <w:t>COMUNS</w:t>
      </w:r>
      <w:r>
        <w:rPr>
          <w:b/>
          <w:sz w:val="18"/>
        </w:rPr>
        <w:t xml:space="preserve"> </w:t>
      </w:r>
      <w:r>
        <w:rPr>
          <w:b/>
        </w:rPr>
        <w:t>COM</w:t>
      </w:r>
      <w:r>
        <w:rPr>
          <w:b/>
          <w:sz w:val="18"/>
        </w:rPr>
        <w:t xml:space="preserve"> </w:t>
      </w:r>
      <w:r>
        <w:rPr>
          <w:b/>
        </w:rPr>
        <w:t>REGISTRO</w:t>
      </w:r>
      <w:r>
        <w:rPr>
          <w:b/>
          <w:sz w:val="18"/>
        </w:rPr>
        <w:t xml:space="preserve"> </w:t>
      </w:r>
      <w:r>
        <w:rPr>
          <w:b/>
        </w:rPr>
        <w:t>DE</w:t>
      </w:r>
      <w:r>
        <w:rPr>
          <w:b/>
          <w:sz w:val="18"/>
        </w:rPr>
        <w:t xml:space="preserve"> </w:t>
      </w:r>
      <w:r>
        <w:rPr>
          <w:b/>
        </w:rPr>
        <w:t>PREÇOS</w:t>
      </w:r>
      <w:r>
        <w:rPr>
          <w:b/>
          <w:sz w:val="18"/>
        </w:rPr>
        <w:t xml:space="preserve"> </w:t>
      </w:r>
      <w:r>
        <w:rPr>
          <w:b/>
        </w:rPr>
        <w:t>(PARECER</w:t>
      </w:r>
      <w:r>
        <w:rPr>
          <w:b/>
          <w:sz w:val="18"/>
        </w:rPr>
        <w:t xml:space="preserve"> </w:t>
      </w:r>
      <w:r>
        <w:rPr>
          <w:b/>
        </w:rPr>
        <w:t>REFERENCIAL</w:t>
      </w:r>
      <w:r>
        <w:rPr>
          <w:b/>
          <w:sz w:val="18"/>
        </w:rPr>
        <w:t xml:space="preserve"> </w:t>
      </w:r>
      <w:r>
        <w:rPr>
          <w:b/>
        </w:rPr>
        <w:t>PGE/MS/CJUR-SEL/N</w:t>
      </w:r>
      <w:r>
        <w:rPr>
          <w:b/>
          <w:sz w:val="18"/>
        </w:rPr>
        <w:t xml:space="preserve">º </w:t>
      </w:r>
      <w:r>
        <w:rPr>
          <w:b/>
        </w:rPr>
        <w:t xml:space="preserve">002/2023) </w:t>
      </w:r>
    </w:p>
    <w:p w:rsidR="00F2380C" w:rsidRDefault="003C2B7F">
      <w:pPr>
        <w:pStyle w:val="Ttulo1"/>
        <w:spacing w:after="224" w:line="259" w:lineRule="auto"/>
        <w:ind w:left="2470"/>
      </w:pPr>
      <w:r>
        <w:t>FASE</w:t>
      </w:r>
      <w:r>
        <w:rPr>
          <w:sz w:val="18"/>
        </w:rPr>
        <w:t xml:space="preserve"> </w:t>
      </w:r>
      <w:r>
        <w:t>PREPARATÓRIA</w:t>
      </w:r>
      <w:r>
        <w:rPr>
          <w:sz w:val="18"/>
        </w:rPr>
        <w:t xml:space="preserve"> </w:t>
      </w:r>
      <w:r>
        <w:t>DO</w:t>
      </w:r>
      <w:r>
        <w:rPr>
          <w:sz w:val="18"/>
        </w:rPr>
        <w:t xml:space="preserve"> </w:t>
      </w:r>
      <w:r>
        <w:t>PREGÃO</w:t>
      </w:r>
      <w:r>
        <w:rPr>
          <w:sz w:val="18"/>
        </w:rPr>
        <w:t xml:space="preserve"> </w:t>
      </w:r>
      <w:r>
        <w:t>ELETRÔNICO</w:t>
      </w:r>
      <w:r>
        <w:rPr>
          <w:sz w:val="18"/>
        </w:rPr>
        <w:t xml:space="preserve"> </w:t>
      </w:r>
      <w:r>
        <w:t xml:space="preserve"> </w:t>
      </w:r>
    </w:p>
    <w:p w:rsidR="00F2380C" w:rsidRDefault="003C2B7F">
      <w:pPr>
        <w:numPr>
          <w:ilvl w:val="0"/>
          <w:numId w:val="1"/>
        </w:numPr>
        <w:ind w:right="31" w:hanging="502"/>
      </w:pPr>
      <w:r>
        <w:t xml:space="preserve">A lista de verificação representa os requisitos mínimos a serem analisados pela área técnica e não dispensa a necessidade de se verificar as peculiaridades do caso concreto para tratamento de questões as quais, pelas suas especificidades, não poderiam ser </w:t>
      </w:r>
      <w:r>
        <w:t xml:space="preserve">abordadas em uma lista geral.  </w:t>
      </w:r>
    </w:p>
    <w:p w:rsidR="00F2380C" w:rsidRDefault="003C2B7F">
      <w:pPr>
        <w:numPr>
          <w:ilvl w:val="0"/>
          <w:numId w:val="1"/>
        </w:numPr>
        <w:ind w:right="31" w:hanging="50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1062228</wp:posOffset>
                </wp:positionH>
                <wp:positionV relativeFrom="page">
                  <wp:posOffset>1243564</wp:posOffset>
                </wp:positionV>
                <wp:extent cx="5797296" cy="18288"/>
                <wp:effectExtent l="0" t="0" r="0" b="0"/>
                <wp:wrapTopAndBottom/>
                <wp:docPr id="27768" name="Group 2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8288"/>
                          <a:chOff x="0" y="0"/>
                          <a:chExt cx="5797296" cy="18288"/>
                        </a:xfrm>
                      </wpg:grpSpPr>
                      <wps:wsp>
                        <wps:cNvPr id="33419" name="Shape 33419"/>
                        <wps:cNvSpPr/>
                        <wps:spPr>
                          <a:xfrm>
                            <a:off x="0" y="12192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0" name="Shape 33420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68" style="width:456.48pt;height:1.44pt;position:absolute;mso-position-horizontal-relative:page;mso-position-horizontal:absolute;margin-left:83.64pt;mso-position-vertical-relative:page;margin-top:97.9184pt;" coordsize="57972,182">
                <v:shape id="Shape 33421" style="position:absolute;width:57972;height:91;left:0;top:121;" coordsize="5797296,9144" path="m0,0l5797296,0l5797296,9144l0,9144l0,0">
                  <v:stroke weight="0pt" endcap="round" joinstyle="round" on="false" color="#000000" opacity="0"/>
                  <v:fill on="true" color="#000000"/>
                </v:shape>
                <v:shape id="Shape 33422" style="position:absolute;width:57972;height:91;left:0;top:0;" coordsize="5797296,9144" path="m0,0l5797296,0l5797296,9144l0,9144l0,0">
                  <v:stroke weight="0pt" endcap="round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Recomenda-se a juntada da lista preenchida aos autos e a cientificação dos seus termos aos órgãos assessorados respectivos. </w:t>
      </w:r>
    </w:p>
    <w:p w:rsidR="00F2380C" w:rsidRDefault="003C2B7F">
      <w:pPr>
        <w:numPr>
          <w:ilvl w:val="0"/>
          <w:numId w:val="1"/>
        </w:numPr>
        <w:ind w:right="31" w:hanging="502"/>
      </w:pPr>
      <w:r>
        <w:t xml:space="preserve">Na utilização da presente lista, o servidor responsável deverá analisar e verificar se eventual RESPOSTA NEGATIVA é causa para devolução do processo para complementação da instrução ou se pode ser objeto de ressalva. </w:t>
      </w:r>
    </w:p>
    <w:p w:rsidR="00F2380C" w:rsidRDefault="003C2B7F">
      <w:pPr>
        <w:numPr>
          <w:ilvl w:val="0"/>
          <w:numId w:val="1"/>
        </w:numPr>
        <w:spacing w:after="44"/>
        <w:ind w:right="31" w:hanging="502"/>
      </w:pPr>
      <w:r>
        <w:t xml:space="preserve">Na 3ª coluna, preencher apenas com as </w:t>
      </w:r>
      <w:r>
        <w:t xml:space="preserve">letras “S”, “N”, “N.A.”, sendo: S – SIM, N – NÃO, N.A. – NÃO SE APLICA. </w:t>
      </w:r>
    </w:p>
    <w:p w:rsidR="00F2380C" w:rsidRDefault="003C2B7F">
      <w:pPr>
        <w:spacing w:after="124" w:line="259" w:lineRule="auto"/>
        <w:ind w:left="502" w:right="0" w:firstLine="0"/>
        <w:jc w:val="left"/>
      </w:pPr>
      <w:r>
        <w:rPr>
          <w:b/>
          <w:sz w:val="26"/>
        </w:rPr>
        <w:t xml:space="preserve"> </w:t>
      </w:r>
    </w:p>
    <w:p w:rsidR="00F2380C" w:rsidRDefault="003C2B7F">
      <w:pPr>
        <w:pStyle w:val="Ttulo1"/>
        <w:spacing w:line="259" w:lineRule="auto"/>
        <w:jc w:val="right"/>
      </w:pPr>
      <w:r>
        <w:rPr>
          <w:sz w:val="26"/>
        </w:rPr>
        <w:t xml:space="preserve">LISTA DE VERIFICAÇÃO DO ORGÃO/ENTIDADE DEMANDANTE </w:t>
      </w:r>
    </w:p>
    <w:tbl>
      <w:tblPr>
        <w:tblStyle w:val="TableGrid"/>
        <w:tblW w:w="10470" w:type="dxa"/>
        <w:tblInd w:w="-190" w:type="dxa"/>
        <w:tblCellMar>
          <w:top w:w="1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406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4"/>
              </w:rPr>
              <w:t xml:space="preserve">PRÉVIA AUTORIZAÇÃO DA SEGOV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229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8" w:lineRule="auto"/>
              <w:ind w:left="85" w:right="51" w:firstLine="0"/>
            </w:pPr>
            <w:r>
              <w:t xml:space="preserve">No caso de contratação específica, consta, no início dos autos, o documento que contém a concordância da Secretaria de Estado de Governo e Gestão Estratégica (SEGOV) para a continuidade da contratação? (art. 3º do Decreto Estadual nº </w:t>
            </w:r>
            <w:r>
              <w:t xml:space="preserve">16.138/2023) </w:t>
            </w:r>
          </w:p>
          <w:p w:rsidR="00F2380C" w:rsidRDefault="003C2B7F">
            <w:pPr>
              <w:spacing w:after="0" w:line="259" w:lineRule="auto"/>
              <w:ind w:left="85" w:right="50" w:firstLine="0"/>
            </w:pPr>
            <w:r>
              <w:rPr>
                <w:i/>
              </w:rPr>
              <w:t xml:space="preserve">OBS: As </w:t>
            </w:r>
            <w:r>
              <w:rPr>
                <w:i/>
              </w:rPr>
              <w:t>contratações centralizadas são excetuadas da aplicação do Decreto Estadual nº 16.138/2023, diferentemente das específicas processadas pelo SRP. Assim, as centralizadas dispensam tal necessidade de concordância da SEGOV (Art. 8º Ficam ressalvados da aplicaç</w:t>
            </w:r>
            <w:r>
              <w:rPr>
                <w:i/>
              </w:rPr>
              <w:t xml:space="preserve">ão do disposto neste Decreto: (...) II - o registro de preços de contratações centralizadas).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8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</w:tr>
      <w:tr w:rsidR="00F2380C">
        <w:trPr>
          <w:trHeight w:val="52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1.1.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85" w:right="0" w:firstLine="0"/>
              <w:jc w:val="left"/>
            </w:pPr>
            <w:r>
              <w:t xml:space="preserve">Caso a concordância de que trata o item 1 tenha sido proferida com ressalvas, foram promovidas as alterações indicadas pela SEGOV?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8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</w:tr>
      <w:tr w:rsidR="00F2380C">
        <w:trPr>
          <w:trHeight w:val="402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PROCEDIMENTO INICIAL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229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line="236" w:lineRule="auto"/>
              <w:ind w:left="85" w:right="51" w:firstLine="0"/>
            </w:pPr>
            <w:r>
              <w:t>Houve abertura de processo administrativo pela autoridade competente, por meio da elaboração do “</w:t>
            </w:r>
            <w:r>
              <w:rPr>
                <w:i/>
              </w:rPr>
              <w:t>instrumento de oficialização de pedido</w:t>
            </w:r>
            <w:r>
              <w:t xml:space="preserve">”? (art. 5º do Decreto Estadual nº 15.941/2022). </w:t>
            </w:r>
          </w:p>
          <w:p w:rsidR="00F2380C" w:rsidRDefault="003C2B7F">
            <w:pPr>
              <w:spacing w:after="0" w:line="259" w:lineRule="auto"/>
              <w:ind w:left="85" w:right="51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“compete às seguintes autoridades executar o procedimento inicial no SRP: I - ao Secretário-Executivo de Licitações da Secretaria de Estado de Administração, na hipótese de contratação de bens e de serviços centralizada; II - à autoridade máxima do órgão d</w:t>
            </w:r>
            <w:r>
              <w:rPr>
                <w:i/>
              </w:rPr>
              <w:t xml:space="preserve">emandante, na hipótese de contratação de bens e de serviços específica, ou a quem este delegar”. (§1º, art. 7º, do Decreto Estadual nº </w:t>
            </w:r>
            <w:r>
              <w:rPr>
                <w:i/>
              </w:rPr>
              <w:t>16.122/2023)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8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lastRenderedPageBreak/>
              <w:t xml:space="preserve">1.1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>Caso a atribuição para a abertura do procedimento tenha sido delegada pelas autoridades competentes (§2º do art. 5º do Decreto Estadual nº 15.941/2022), consta dos autos o ato formal, devidamente publicado na imprensa oficial, delegando os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8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0" w:type="dxa"/>
        <w:tblInd w:w="-19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329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poderes para o agente púbico que autorizou a abertura?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>O “</w:t>
            </w:r>
            <w:r>
              <w:rPr>
                <w:i/>
              </w:rPr>
              <w:t>instrumento de oficialização de pedido</w:t>
            </w:r>
            <w:r>
              <w:t xml:space="preserve">” está em conformidade com o modelo constante do Anexo I do Decreto Estadual nº 15.941/2022?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9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>O “</w:t>
            </w:r>
            <w:r>
              <w:rPr>
                <w:i/>
              </w:rPr>
              <w:t>instrumento de oficialização de pedido</w:t>
            </w:r>
            <w:r>
              <w:t xml:space="preserve">” contém a justificativa da necessidade da contratação e a indicação do agente da contratação da fase interna (art. 5º do Decreto nº 15.941/2022)?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94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3.1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O agente de contratação da fase interna foi designado dentre os servidores efetivos ou empregados públicos dos quadros permanentes da Administração Pública do Poder Executivo Estadual? (art. 3º, </w:t>
            </w:r>
            <w:r>
              <w:rPr>
                <w:i/>
              </w:rPr>
              <w:t>caput</w:t>
            </w:r>
            <w:r>
              <w:t xml:space="preserve">, do Decreto Estadual nº 15.937/2022)?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6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O agente de contratação da fase interna designou a equipe de planejamento da contratação?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46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9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ESTUDO TÉCNICO PRELIMINAR (ETP)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6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64" w:right="0" w:firstLine="0"/>
            </w:pPr>
            <w:r>
              <w:t xml:space="preserve">O processo de contratação possui Estudo Técnico Preliminar (§ 1º do art. 18 da Lei nº 14.133/2021)?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64" w:right="5" w:firstLine="0"/>
            </w:pPr>
            <w:r>
              <w:t xml:space="preserve">O ETP deixou de ser elaborado em razão de uma das hipóteses de dispensa do inciso III do §6º do art. 7º ou de uma das hipóteses que o torna facultativo do §7º do art. 7º, ambos do Decreto Estadual nº 15.941/2022?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>Na hipótese de não elaboração do ETP por uma das hipóteses facultativas do §7º do art. 7º do Decreto Estadual nº 15.941/2022, a equipe de planejamento apresentou as justificativas aptas a comprovarem uma daquelas situações, bem como demonstrou a inexistênc</w:t>
            </w:r>
            <w:r>
              <w:t xml:space="preserve">ia de nova(s) solução(ões) no mercado?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23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622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72" w:right="0" w:firstLine="0"/>
              <w:jc w:val="left"/>
            </w:pPr>
            <w:r>
              <w:rPr>
                <w:b/>
              </w:rPr>
              <w:t xml:space="preserve">2.2.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Quando não elaborado o ETP, os seus elementos obrigatórios (descritos no § 2º do art. 18 da Lei Federal nº 14.133, de 2021) constam no Termo de Referência?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619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3.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>O ETP foi elaborado antes do Termo de Referência? (art. 6º, XX, da Lei nº</w:t>
            </w:r>
          </w:p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14.133/2021)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786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6" w:lineRule="auto"/>
              <w:ind w:left="128" w:right="0" w:firstLine="0"/>
            </w:pPr>
            <w:r>
              <w:t xml:space="preserve">O ETP contém os elementos obrigatórios descritos no § 2º do art. 18 da Lei Federal nº 14.133/2021? </w:t>
            </w:r>
          </w:p>
          <w:p w:rsidR="00F2380C" w:rsidRDefault="003C2B7F">
            <w:pPr>
              <w:spacing w:after="0" w:line="259" w:lineRule="auto"/>
              <w:ind w:left="128" w:right="5" w:firstLine="0"/>
            </w:pPr>
            <w:r>
              <w:rPr>
                <w:i/>
              </w:rPr>
              <w:t xml:space="preserve">OBS: O ETP deve conter, obrigatoriamente: a descrição da necessidade da contratação (inc. I); (b) a estimativa das quantidades para a contratação (inc. IV); (c) a estimativa do valor da contratação (inc. VI); (d) a justificativa para o parcelamento ou não </w:t>
            </w:r>
            <w:r>
              <w:rPr>
                <w:i/>
              </w:rPr>
              <w:t xml:space="preserve">da solução (inc. VIII); e) o posicionamento conclusivo sobre a viabilidade da contratação (inc. XIII).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734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05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lastRenderedPageBreak/>
              <w:t xml:space="preserve">4.1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8" w:lineRule="auto"/>
              <w:ind w:left="128" w:right="5" w:firstLine="0"/>
            </w:pPr>
            <w:r>
              <w:t xml:space="preserve">Os elementos não obrigatórios do ETP e que não tenham sido contemplados na elaboração do documento analisado tiveram a sua ausência devidamente justificada pela equipe de planejamento? </w:t>
            </w:r>
          </w:p>
          <w:p w:rsidR="00F2380C" w:rsidRDefault="003C2B7F">
            <w:pPr>
              <w:spacing w:after="0" w:line="259" w:lineRule="auto"/>
              <w:ind w:left="128" w:right="5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Os elementos não obrigatórios do ETP são: a) demonstração da previsão da contratação no plano de contratações anual (inc. II); b) requisitos da contratação (inc. III); c) levantamento de mercado (inc. V); d) descrição da solução como um todo (inc. VII); e)</w:t>
            </w:r>
            <w:r>
              <w:rPr>
                <w:i/>
              </w:rPr>
              <w:t xml:space="preserve"> demonstrativo dos resultados pretendidos em termos de economicidade e de melhor aproveitamento dos recursos humanos, materiais e financeiros disponíveis (inc. IX); f) providências a serem adotadas pela Administração previamente à celebração do contrato (i</w:t>
            </w:r>
            <w:r>
              <w:rPr>
                <w:i/>
              </w:rPr>
              <w:t>nc. X); g) contratações correlatas e/ou interdependentes (inc. XI); h) descrição de possíveis impactos ambientais e respectivas medidas mitigadoras (inc. XII).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1495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228" w:line="259" w:lineRule="auto"/>
              <w:ind w:left="-7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1243" w:firstLine="0"/>
            </w:pPr>
            <w:r>
              <w:rPr>
                <w:i/>
              </w:rPr>
              <w:t xml:space="preserve"> 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A equipe de planejamento indicou a necessidade da contratação?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6.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O ETP apresentou as soluções existentes no mercado e promoveu uma efetiva análise comparativa entre elas?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 análise comparativa entre as soluções foi orientada por algum dos critérios elencados pelo §1º do art. 7º do Decreto nº 15.941/2022?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4" w:type="dxa"/>
        <w:tblInd w:w="-192" w:type="dxa"/>
        <w:tblCellMar>
          <w:top w:w="10" w:type="dxa"/>
          <w:left w:w="0" w:type="dxa"/>
          <w:bottom w:w="12" w:type="dxa"/>
          <w:right w:w="6" w:type="dxa"/>
        </w:tblCellMar>
        <w:tblLook w:val="04A0" w:firstRow="1" w:lastRow="0" w:firstColumn="1" w:lastColumn="0" w:noHBand="0" w:noVBand="1"/>
      </w:tblPr>
      <w:tblGrid>
        <w:gridCol w:w="761"/>
        <w:gridCol w:w="7589"/>
        <w:gridCol w:w="1291"/>
        <w:gridCol w:w="833"/>
      </w:tblGrid>
      <w:tr w:rsidR="00F2380C">
        <w:trPr>
          <w:trHeight w:val="3065"/>
        </w:trPr>
        <w:tc>
          <w:tcPr>
            <w:tcW w:w="76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1" w:firstLine="0"/>
            </w:pPr>
            <w:r>
              <w:rPr>
                <w:i/>
              </w:rPr>
              <w:t>OBS: I - vantajosidade econômica, preferencialmente pela comparação do custo total das soluções propostas e da solução atual, quando for o caso; II - ganhos de eficiência administrativa, pela economia de tempo, de recursos materiais e de pessoal; III - con</w:t>
            </w:r>
            <w:r>
              <w:rPr>
                <w:i/>
              </w:rPr>
              <w:t>tinuidade sustentável do modelo de fornecimento do bem ou da prestação de serviço para a Administração Pública Estadual; IV - sustentabilidade social e ambiental, por meio da consideração de objetivos secundários da política de compras públicas; V - incorp</w:t>
            </w:r>
            <w:r>
              <w:rPr>
                <w:i/>
              </w:rPr>
              <w:t>oração de tecnologias que permitam ganhos de eficiência, exatidão, segurança, transparência, impessoalidade, padronização ou controle; VI - possibilidade de compra ou de locação de bens, a serem avaliados os custos e os benefícios de cada opção para escolh</w:t>
            </w:r>
            <w:r>
              <w:rPr>
                <w:i/>
              </w:rPr>
              <w:t xml:space="preserve">a da alternativa mais vantajosa; VII - opções menos onerosas à Administração Pública Estadual, tais como chamamentos públicos de doação e permutas.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380C" w:rsidRDefault="003C2B7F">
            <w:pPr>
              <w:spacing w:after="230" w:line="259" w:lineRule="auto"/>
              <w:ind w:left="-1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F2380C" w:rsidRDefault="003C2B7F">
            <w:pPr>
              <w:spacing w:after="230" w:line="259" w:lineRule="auto"/>
              <w:ind w:left="-1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F2380C" w:rsidRDefault="003C2B7F">
            <w:pPr>
              <w:spacing w:after="0" w:line="259" w:lineRule="auto"/>
              <w:ind w:left="-1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380C">
        <w:trPr>
          <w:trHeight w:val="77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2" w:firstLine="0"/>
            </w:pPr>
            <w:r>
              <w:t xml:space="preserve">Especificamente, considerando o art. 44 da Lei nº 14.133/2021, quando houver a possibilidade de compra ou de locação de bens, o ETP considerou os custos e os benefícios de cada opção, com indicação da alternativa mais vantajosa?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6.3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>Ao final do levantamento, foi demonstrado que a solução escolhida é a que mais se aproxima dos requisitos definidos e que mais promove a competição, levando-se em conta os aspectos de economicidade, eficácia, eficiência e padronização, bem como as práticas</w:t>
            </w:r>
            <w:r>
              <w:t xml:space="preserve"> de mercado?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5" w:right="0" w:firstLine="0"/>
              <w:jc w:val="left"/>
            </w:pPr>
            <w:r>
              <w:rPr>
                <w:b/>
              </w:rPr>
              <w:t xml:space="preserve">7. 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Em relação aos quantitativos dos bens que se pretende adquirir, o ETP indica a memória de cálculo e a metodologia utilizada para se chegar na estimativa?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28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7.1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6" w:lineRule="auto"/>
              <w:ind w:left="127" w:right="0" w:firstLine="0"/>
            </w:pPr>
            <w:r>
              <w:t xml:space="preserve">Foram juntados os documentos que corroboram as estimativas fixadas no ETP? (art. 18, §1º, IV, da Lei nº 14.133/2021),  </w:t>
            </w:r>
          </w:p>
          <w:p w:rsidR="00F2380C" w:rsidRDefault="003C2B7F">
            <w:pPr>
              <w:spacing w:after="0" w:line="259" w:lineRule="auto"/>
              <w:ind w:left="127" w:right="1" w:firstLine="0"/>
            </w:pPr>
            <w:r>
              <w:rPr>
                <w:i/>
              </w:rPr>
              <w:t>OBS: Na hipótese de constar no ETP a memória de cálculo e a metodologia utilizada para fins de dimensionamento e quantitativo da contrat</w:t>
            </w:r>
            <w:r>
              <w:rPr>
                <w:i/>
              </w:rPr>
              <w:t xml:space="preserve">ação, esses valem como documentos que corroboram com a estimativa de quantidade.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228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1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4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O ETP contém justificativas para o parcelamento ou não da contratação? (inciso VIII, §1º, do art.18 e </w:t>
            </w:r>
            <w:r>
              <w:rPr>
                <w:sz w:val="24"/>
              </w:rPr>
              <w:t>§§2º e 3º do art. 40 da Lei nº 14.133/2021</w:t>
            </w:r>
            <w:r>
              <w:t xml:space="preserve">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786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lastRenderedPageBreak/>
              <w:t xml:space="preserve">8.1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9" w:lineRule="auto"/>
              <w:ind w:left="127" w:right="0" w:firstLine="0"/>
            </w:pPr>
            <w:r>
              <w:t xml:space="preserve">A opção pelo parcelamento da contratação considerou uma das circunstâncias descritas no §2º do art. 40 da Lei nº 14.133/2021? </w:t>
            </w:r>
          </w:p>
          <w:p w:rsidR="00F2380C" w:rsidRDefault="003C2B7F">
            <w:pPr>
              <w:spacing w:after="0" w:line="259" w:lineRule="auto"/>
              <w:ind w:left="127" w:right="1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§ 2º Na aplicação do princípio do parcelamento, referente às compras, deverão ser considerados: I - a viabilidade da divisão</w:t>
            </w:r>
            <w:r>
              <w:rPr>
                <w:i/>
              </w:rPr>
              <w:t xml:space="preserve"> do objeto em lotes; II - o aproveitamento das peculiaridades do mercado local, com vistas à economicidade, sempre que possível, desde que atendidos os parâmetros de qualidade; e III - o dever de buscar a ampliação da competição e de evitar a concentração </w:t>
            </w:r>
            <w:r>
              <w:rPr>
                <w:i/>
              </w:rPr>
              <w:t>de mercado.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204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8.2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6" w:lineRule="auto"/>
              <w:ind w:left="127" w:right="0" w:firstLine="0"/>
            </w:pPr>
            <w:r>
              <w:t xml:space="preserve">A opção pelo NÃO parcelamento da contratação foi fundamentada em uma das hipóteses do §3º do art. 40 da Lei nº 14.133/2021? </w:t>
            </w:r>
          </w:p>
          <w:p w:rsidR="00F2380C" w:rsidRDefault="003C2B7F">
            <w:pPr>
              <w:spacing w:after="0" w:line="259" w:lineRule="auto"/>
              <w:ind w:left="127" w:right="1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 xml:space="preserve">§ 3º O parcelamento não será adotado quando: I - a economia de escala, a redução de custos de gestão de contratos ou a maior vantagem na contratação recomendar a compra do item do mesmo fornecedor; II - o objeto a ser contratado configurar sistema único e </w:t>
            </w:r>
            <w:r>
              <w:rPr>
                <w:i/>
              </w:rPr>
              <w:t>integrado e houver a possibilidade de risco ao conjunto do objeto pretendido; III - o processo de padronização ou de escolha de marca levar a fornecedor exclusivo.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8.3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No caso de a contratação vedar a participação de empresas reunidas em consórcio, foram apresentadas as justificativas que motivaram essa decisão?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</w:rPr>
              <w:t xml:space="preserve">8.4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No caso de a contratação ter permitido a subcontratação parcial do objeto, foram apresentadas as justificativas que motivaram essa decisão e fixados os limites e parcelas do objeto que poderão ser subcontratadas?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O ETP demonstrou a previsão da contratação no Plano de Contratações Anual - PCA? (art. 18 da Lei nº 14.133/2021)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79" w:firstLine="0"/>
              <w:jc w:val="right"/>
            </w:pPr>
            <w:r>
              <w:rPr>
                <w:b/>
              </w:rPr>
              <w:t xml:space="preserve">10.  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7" w:right="0" w:firstLine="0"/>
            </w:pPr>
            <w:r>
              <w:t xml:space="preserve">O ETP foi assinado, rubricado em todas as suas folhas e datado pela equipe de planejamento da contratação? (art. 13 do Decreto Estadual nº 15.941/2022)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0" w:type="dxa"/>
        <w:tblInd w:w="-190" w:type="dxa"/>
        <w:tblCellMar>
          <w:top w:w="1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379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7A7A"/>
          </w:tcPr>
          <w:p w:rsidR="00F2380C" w:rsidRDefault="003C2B7F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7A7A"/>
          </w:tcPr>
          <w:p w:rsidR="00F2380C" w:rsidRDefault="003C2B7F">
            <w:pPr>
              <w:spacing w:after="0" w:line="259" w:lineRule="auto"/>
              <w:ind w:left="123" w:right="0" w:firstLine="0"/>
              <w:jc w:val="center"/>
            </w:pPr>
            <w:r>
              <w:rPr>
                <w:b/>
                <w:sz w:val="24"/>
              </w:rPr>
              <w:t xml:space="preserve">SISTEMA DE REGISTRO DE PREÇOS (SRP)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7A7A"/>
          </w:tcPr>
          <w:p w:rsidR="00F2380C" w:rsidRDefault="003C2B7F">
            <w:pPr>
              <w:spacing w:after="0" w:line="259" w:lineRule="auto"/>
              <w:ind w:left="72" w:right="0" w:firstLine="0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7A7A"/>
          </w:tcPr>
          <w:p w:rsidR="00F2380C" w:rsidRDefault="003C2B7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280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1" w:line="238" w:lineRule="auto"/>
              <w:ind w:left="128" w:right="2" w:firstLine="0"/>
            </w:pPr>
            <w:r>
              <w:t xml:space="preserve">Foi indicada a hipótese de utilização do SRP (incisos do art. 3º do Decreto Estadual nº 16.122/2023), com as justificativas de que a contratação em concreto se amolda à previsão apontada? </w:t>
            </w:r>
          </w:p>
          <w:p w:rsidR="00F2380C" w:rsidRDefault="003C2B7F">
            <w:pPr>
              <w:spacing w:after="0" w:line="259" w:lineRule="auto"/>
              <w:ind w:left="128" w:right="0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Art. 3º O SRP será adotado, preferencialmente, nas hipóteses em que: I - pelas características do bem ou do serviço, haja necessidade de contratações frequentes; II - for conveniente a aquisição de bens com previsão de entregas parceladas ou contratação de</w:t>
            </w:r>
            <w:r>
              <w:rPr>
                <w:i/>
              </w:rPr>
              <w:t xml:space="preserve"> serviços remunerados por unidade de medida ou em regime de tarefa; III - for conveniente a aquisição de bens ou a contratação de serviços para atendimento a mais de um órgão ou a programas de governo; ou IV - quando, pela natureza do objeto ou da situação</w:t>
            </w:r>
            <w:r>
              <w:rPr>
                <w:i/>
              </w:rPr>
              <w:t xml:space="preserve"> fática, não for possível definir previamente o quantitativo a ser demandado pela Administração Pública Estadual.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Foi aberto procedimento público de Intenção de Registro de Preços (IRP) – art. 86 da Lei nº 14.133/2021?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2" w:firstLine="0"/>
            </w:pPr>
            <w:r>
              <w:t>A IRP restou aberta pelo prazo mínimo de 8 (oito) dias úteis, mediante convocação, por correspondência eletrônica ou outro meio eficaz, de órgãos/entidades para manifestarem interesse na contratação? (art. 86 da Lei nº 14.133/2021 e art. 9º do Decreto Esta</w:t>
            </w:r>
            <w:r>
              <w:t xml:space="preserve">dual nº 16.122/2023)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2" w:firstLine="0"/>
            </w:pPr>
            <w:r>
              <w:t>Na hipótese de dispensa excepcional de abertura de IRP, para contratações específicas nas quais a necessidade administrativa seja manifestamente restrita ao órgão/entidade demandante, foram expostas as justificativas dessa manifesta restrição? (art. 86, §1</w:t>
            </w:r>
            <w:r>
              <w:t xml:space="preserve">º, da Lei nº 14.133/2021 e art. 8º, §2º, do Decreto Estadual nº 16.122/2023)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07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line="237" w:lineRule="auto"/>
              <w:ind w:left="128" w:right="2" w:firstLine="0"/>
            </w:pPr>
            <w:r>
              <w:t>Na hipótese de contratação centralizada, a SAD/SEL, no exercício da competência de gerenciamento, verificou se os documentos e informações recebidos dos órgãos/entidades interessados atendiam às obrigações de participação na IRP, previstas no art. 11 do De</w:t>
            </w:r>
            <w:r>
              <w:t xml:space="preserve">creto Estadual nº 16.122/2023? </w:t>
            </w:r>
          </w:p>
          <w:p w:rsidR="00F2380C" w:rsidRDefault="003C2B7F">
            <w:pPr>
              <w:spacing w:after="0" w:line="259" w:lineRule="auto"/>
              <w:ind w:left="128" w:right="1" w:firstLine="0"/>
            </w:pPr>
            <w:r>
              <w:rPr>
                <w:i/>
              </w:rPr>
              <w:t>OBS: Nos termos do art. 10, V, do Decreto, caberá à SAD/SEL recursar a participação de órgão/entidade que não cumpra os requisitos do art. 11, que atribui as seguintes obrigações: “Art. 11. Na contratação de bens e de serviç</w:t>
            </w:r>
            <w:r>
              <w:rPr>
                <w:i/>
              </w:rPr>
              <w:t>os centralizada caberá aos órgãos a manifestação de interesse em participar do SRP, observando as seguintes medidas: I - garantir que os atos relativos à sua inclusão no registro de preços estejam formalizados e aprovados pela autoridade competente;II - ma</w:t>
            </w:r>
            <w:r>
              <w:rPr>
                <w:i/>
              </w:rPr>
              <w:t>nifestar perante o órgão gerenciador sua concordância com o objeto a ser licitado e sugerir condições específicas de contratação, quando for o caso; III - encaminhar a estimativa de consumo e o cronograma de consumo ou de contratação, na forma estabelecida</w:t>
            </w:r>
            <w:r>
              <w:rPr>
                <w:i/>
              </w:rPr>
              <w:t xml:space="preserve"> pelo órgão gerenciador, os quais deverão conter os seguintes elementos: a) a descrição da necessidade da contratação; b) a referência a outros instrumentos de planejamento do órgão, se houver, tais como, Plano de Contratações Anual (PCA), planos de traba-</w:t>
            </w:r>
            <w:r>
              <w:rPr>
                <w:i/>
              </w:rPr>
              <w:t>lho, entre outros; c) as estimativas das quantidades para a contratação, acompanhadas das memórias de cálculo e dos documentos que lhes dão suporte; d) a identificação do servidor responsável por sua elaboração, com a especificação da matrícula e cargo/fun</w:t>
            </w:r>
            <w:r>
              <w:rPr>
                <w:i/>
              </w:rPr>
              <w:t>ção que exerce”.</w:t>
            </w:r>
            <w:r>
              <w:t xml:space="preserve">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1243" w:line="259" w:lineRule="auto"/>
              <w:ind w:left="-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2" w:firstLine="0"/>
            </w:pPr>
            <w:r>
              <w:t>Na contratação centralizada, uma vez regulares os documentos recebidos dos órgãos/entidades participantes, o órgão gerenciador (SAD/SEL) os considerou e consolidou nos instrumentos de planejamento? (art. 7º, §2º, e art. 10, II e III, do Decreto Estadual nº</w:t>
            </w:r>
            <w:r>
              <w:t xml:space="preserve"> 16.122/2023)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>O TR definiu o período de validade de registro de preços e a possibilidade de prorrogação ou não, com a exposição dos motivos que justificaram a escolha? (arts. 84 e 82, §5º, V, da Lei nº 14.133/2021 e art. 12, IV, do Decreto Estadual nº 16.122/23)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4.1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2" w:firstLine="0"/>
            </w:pPr>
            <w:r>
              <w:t>O TR definiu a possibilidade ou não de adesão à ata de registro de preços, na condição de não participantes (carona), expondo os motivos que justificaram a escolha? (art. 12, III, do Decreto Estadual nº 16.122/2023, e art. 86, §2º, da Lei nº 14.133/20</w:t>
            </w:r>
            <w:r>
              <w:t xml:space="preserve">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0" w:type="dxa"/>
        <w:tblInd w:w="-19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536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4.2 </w:t>
            </w: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O TR previu as especificidades da licitação e de seu objeto, fixando a quantitadade máxima de cada item que poderá ser adquirida? (art. 82, I, da Lei nº 14.133/2021)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4.3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O TR tratou da possibilidade de prever ou não preços diferentes? (art. 82, III, da Lei nº 14.133/2021 )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4.4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O TR tratou da possibilidade de o licitante oferecer ou não proposta em quantitativo inferior ao máximo previsto no edital? (art. 82, IV, da Lei nº 14.133/2021 e art. 12, §1º, do Decreto Estadual nº 16.122/2023)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4.5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O TR individualizou os órgãos participantes e as informações específicas em relação a cada qual, como estimativa de quantidades, locais e prazos de entrega? (art. 12, I e II do Decreto Estadual nº 16.122/2023)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-7" w:right="1229" w:firstLine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45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9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TERMO DE REFERÊNCIA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Foi utilizada a versão mais atualizada da minuta-padrão de Termo de Referência para compras de bens comuns, aprovada pela PGE/MS e específica para o sistema de registro de preços?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lastRenderedPageBreak/>
              <w:t xml:space="preserve">2.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>Consta nos autos a “</w:t>
            </w:r>
            <w:r>
              <w:rPr>
                <w:i/>
              </w:rPr>
              <w:t>Certidão de Atendimento da Minuta Padronizada</w:t>
            </w:r>
            <w:r>
              <w:t xml:space="preserve">” que atesta que o conteúdo do Termo de Referência seguiu a versão mais atualizada da minuta-padrão aprovada pela PGE/MS?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 certidão informou se foi incluído/excluído/alterado algum elemento da minuta padronizada que demanda análise jurídica?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53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2.2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line="237" w:lineRule="auto"/>
              <w:ind w:left="128" w:right="5" w:firstLine="0"/>
            </w:pPr>
            <w:r>
              <w:t xml:space="preserve">A necessidade de análise jurídica de que trata o subitem 2.1 desta lista de verificação já está abrangida pelas recomendações contidas no Parecer Referencial PGE/MS/CJUR-SEL nº 01/2023 ou no Parecer Referencial PGE/MS/CJUR-SEL nº </w:t>
            </w:r>
            <w:r>
              <w:t xml:space="preserve">02/2023? </w:t>
            </w:r>
          </w:p>
          <w:p w:rsidR="00F2380C" w:rsidRDefault="003C2B7F">
            <w:pPr>
              <w:spacing w:after="0" w:line="259" w:lineRule="auto"/>
              <w:ind w:left="128" w:right="0" w:firstLine="0"/>
            </w:pPr>
            <w:r>
              <w:rPr>
                <w:i/>
              </w:rPr>
              <w:t>OBS: Em caso neg</w:t>
            </w:r>
            <w:r>
              <w:rPr>
                <w:i/>
              </w:rPr>
              <w:t xml:space="preserve">ativo, os autos devem ser remetidos à PGE/MS, para a análise específica sobre esses pontos (Decreto Estadual nº 15.404/2020).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 especificação do objeto no Termo de Referência observou a existência de catálogo eletrônico de padronização?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55" w:firstLine="0"/>
              <w:jc w:val="right"/>
            </w:pPr>
            <w:r>
              <w:rPr>
                <w:b/>
              </w:rPr>
              <w:t xml:space="preserve">3.1. </w:t>
            </w:r>
            <w:r>
              <w:rPr>
                <w:b/>
              </w:rPr>
              <w:t xml:space="preserve">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 não utilização do catálogo eletrônico de padronização foi justificada por escrito e anexada ao respectivo processo licitatório? (art. 19, §2º, da Lei nº 14.133/2021)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4.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Para os fins do disposto no Decreto Estadual nº 15.775/2021, o objeto a ser adquirido e que se caracterize como “bem de consumo”, foi qualificado como de categoria “comum”?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282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72" w:right="0" w:firstLine="0"/>
              <w:jc w:val="left"/>
            </w:pPr>
            <w:r>
              <w:rPr>
                <w:b/>
              </w:rPr>
              <w:t xml:space="preserve">4.1.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6" w:lineRule="auto"/>
              <w:ind w:left="128" w:right="0" w:firstLine="0"/>
            </w:pPr>
            <w:r>
              <w:t xml:space="preserve">Os requisitos que podem resultar em uma restrição na competitividade foram devidamente justificados nos autos? </w:t>
            </w:r>
          </w:p>
          <w:p w:rsidR="00F2380C" w:rsidRDefault="003C2B7F">
            <w:pPr>
              <w:spacing w:after="0" w:line="259" w:lineRule="auto"/>
              <w:ind w:left="128" w:right="5" w:firstLine="0"/>
            </w:pPr>
            <w:r>
              <w:rPr>
                <w:i/>
              </w:rPr>
              <w:t>OBS: Os requisitos devem estar de acordo com o ETP. Quando não houver ETP, por ser esse dispensado ou facultativo, a restrição, devidamente fund</w:t>
            </w:r>
            <w:r>
              <w:rPr>
                <w:i/>
              </w:rPr>
              <w:t>amentada, ocorrerá no próprio Termo de Referência.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5.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O Termo de Referência especificou a duração do contrato, bem como se este se caracteriza como fornecimento contínuo ou contrato por escopo?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Caso tenha sido classificado como fornecimento contínuo, foi demonstrada a vantagem econômica para a vigência plurianual?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254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8" w:lineRule="auto"/>
              <w:ind w:left="128" w:right="6" w:firstLine="0"/>
            </w:pPr>
            <w:r>
              <w:t xml:space="preserve">Na hipótese de prévia indicação de marca para a aquisição de determinado bem foi apresentada a justificativa em uma das hipóteses do inciso I do art. 41 da Lei nº 14.133/2021? </w:t>
            </w:r>
          </w:p>
          <w:p w:rsidR="00F2380C" w:rsidRDefault="003C2B7F">
            <w:pPr>
              <w:spacing w:after="0" w:line="259" w:lineRule="auto"/>
              <w:ind w:left="128" w:right="4" w:firstLine="0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“a) em decorrência da necessidade de padronização do objeto; b) em decorrê</w:t>
            </w:r>
            <w:r>
              <w:rPr>
                <w:i/>
              </w:rPr>
              <w:t xml:space="preserve">ncia da necessidade de manter a compatibilidade com plataformas e padrões já adotados pela Administração; c) quando determinada marca ou modelo comercializados por mais de um fornecedor forem os únicos capazes de atender às necessidades do contratante; d) </w:t>
            </w:r>
            <w:r>
              <w:rPr>
                <w:i/>
              </w:rPr>
              <w:t>quando a descrição do objeto a ser licitado puder ser mais bem compreendida pela identificação de determinada marca ou determinado modelo aptos a servir apenas como referência”.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-7" w:right="1229" w:firstLine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0" w:type="dxa"/>
        <w:tblInd w:w="-190" w:type="dxa"/>
        <w:tblCellMar>
          <w:top w:w="1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1546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 xml:space="preserve">O Termo de Referência especificou o tipo de garantia do produto a ser exigido? </w:t>
            </w:r>
            <w:r>
              <w:rPr>
                <w:i/>
              </w:rPr>
              <w:t>OBS: A garantia legal está expressa no art. 26 do Código de Defesa do Consumidor (Lei nº 8.078/1990), adstrita àquelas hipóteses previstas na normativa específica: 30 dias - pro</w:t>
            </w:r>
            <w:r>
              <w:rPr>
                <w:i/>
              </w:rPr>
              <w:t xml:space="preserve">dutos não-duráveis e 90 dias - produtos duráveis. Por sua vez, a garantia contratual, como espécie complementar à legal, é facultativa e será conferida mediante termo escrito (art. 50 do CDC).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78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65" w:right="0" w:firstLine="0"/>
              <w:jc w:val="left"/>
            </w:pPr>
            <w:r>
              <w:rPr>
                <w:b/>
              </w:rPr>
              <w:lastRenderedPageBreak/>
              <w:t xml:space="preserve">7.1.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7" w:lineRule="auto"/>
              <w:ind w:left="121" w:right="5" w:firstLine="0"/>
            </w:pPr>
            <w:r>
              <w:t>Na hipótese de ter sido exigido que os serviços de manutenção e assistência técnica sejam prestados mediante deslocamento de técnico ou disponibilizados em unidade de prestação de serviços localizada em distância compatível com as necessidades da contrataç</w:t>
            </w:r>
            <w:r>
              <w:t xml:space="preserve">ão, foram apresentadas as justificativas na fase preparatória? </w:t>
            </w:r>
          </w:p>
          <w:p w:rsidR="00F2380C" w:rsidRDefault="003C2B7F">
            <w:pPr>
              <w:spacing w:after="0" w:line="259" w:lineRule="auto"/>
              <w:ind w:left="121" w:right="5" w:firstLine="0"/>
            </w:pPr>
            <w:r>
              <w:rPr>
                <w:i/>
              </w:rPr>
              <w:t>OBS: Os requisitos devem estar de acordo com o ETP. Quando não houver ETP, por ser esse dispensado ou facultativo, a indicação, devidamente fundamentada, ocorrerá no próprio Termo de Referênci</w:t>
            </w:r>
            <w:r>
              <w:rPr>
                <w:i/>
              </w:rPr>
              <w:t>a.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 xml:space="preserve">Caso o Termo de Referência tenha exigido a prestação de garantia de proposta (art. 58 da Lei nº 14.133/2021) e/ou garantia contratual (art. 96 da Lei nº 14.133/2021), </w:t>
            </w:r>
            <w:r>
              <w:t xml:space="preserve">foram apresentadas as devidas justificativas para a escolha feita?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46" w:right="0" w:firstLine="0"/>
              <w:jc w:val="left"/>
            </w:pPr>
            <w:r>
              <w:rPr>
                <w:b/>
              </w:rPr>
              <w:t xml:space="preserve">9.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  <w:jc w:val="left"/>
            </w:pPr>
            <w:r>
              <w:t xml:space="preserve">A equipe de planejamento avaliou se o objeto se enquadra como “bem comum” para fins de adoção do pregão eletrônico como modalidade licitatória a ser adotada?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291" w:right="0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  <w:jc w:val="left"/>
            </w:pPr>
            <w:r>
              <w:t xml:space="preserve">O “critério de julgamento” ficou restrito ao “menor preço” ou o “maior desconto”?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1" w:right="0" w:firstLine="0"/>
              <w:jc w:val="left"/>
            </w:pPr>
            <w:r>
              <w:rPr>
                <w:b/>
              </w:rPr>
              <w:t xml:space="preserve">11.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>O termo de referência definiu o modo de disputa “</w:t>
            </w:r>
            <w:r>
              <w:rPr>
                <w:i/>
              </w:rPr>
              <w:t>aberto</w:t>
            </w:r>
            <w:r>
              <w:t>”, “</w:t>
            </w:r>
            <w:r>
              <w:rPr>
                <w:i/>
              </w:rPr>
              <w:t>aberto-fechado</w:t>
            </w:r>
            <w:r>
              <w:t xml:space="preserve">” ou </w:t>
            </w:r>
            <w:r>
              <w:t>“</w:t>
            </w:r>
            <w:r>
              <w:rPr>
                <w:i/>
              </w:rPr>
              <w:t>fechado-aberto</w:t>
            </w:r>
            <w:r>
              <w:t xml:space="preserve">” a ser adotado no certame?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 xml:space="preserve">11.1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  <w:jc w:val="left"/>
            </w:pPr>
            <w:r>
              <w:t xml:space="preserve">A equipe de planejamento justificou a escolha do modo de disputa?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84" w:firstLine="0"/>
              <w:jc w:val="right"/>
            </w:pPr>
            <w:r>
              <w:rPr>
                <w:b/>
              </w:rPr>
              <w:t xml:space="preserve">12.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Foi incluída alguma exigência de HABILITAÇÃO JURÍDICA distinta daquelas padronizadas na minuta do Termo de Referência?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84" w:firstLine="0"/>
              <w:jc w:val="right"/>
            </w:pPr>
            <w:r>
              <w:rPr>
                <w:b/>
              </w:rPr>
              <w:t xml:space="preserve">13.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O Termo de Referência exigiu a apresentação de atestado de capacidade técnica como documento de HABILITAÇÃO TÉCNICA?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9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 xml:space="preserve">13.1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  <w:jc w:val="left"/>
            </w:pPr>
            <w:r>
              <w:t xml:space="preserve">A exigência de atestado de capacidade técnica foi justificada nos autos?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53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 xml:space="preserve">13.2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line="236" w:lineRule="auto"/>
              <w:ind w:left="121" w:right="0" w:firstLine="0"/>
            </w:pPr>
            <w:r>
              <w:t xml:space="preserve">A exigência de que trata o subitem 14 desta Lista de Verificação ficou restrita às parcelas de maior relevância ou valor significativo do objeto da licitação? </w:t>
            </w:r>
          </w:p>
          <w:p w:rsidR="00F2380C" w:rsidRDefault="003C2B7F">
            <w:pPr>
              <w:spacing w:after="0" w:line="259" w:lineRule="auto"/>
              <w:ind w:left="121" w:right="5" w:firstLine="0"/>
            </w:pPr>
            <w:r>
              <w:rPr>
                <w:i/>
              </w:rPr>
              <w:t>OBS</w:t>
            </w:r>
            <w:r>
              <w:t>: a “</w:t>
            </w:r>
            <w:r>
              <w:rPr>
                <w:i/>
              </w:rPr>
              <w:t>exigência de atestados será restrita às parcelas de maior relevância ou valor significativo do objeto da licitação, assim consideradas as que tenham valor individual igual ou superior a 4% (quatro por cento) do valor total estimado da contratação</w:t>
            </w:r>
            <w:r>
              <w:t xml:space="preserve">”.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 xml:space="preserve">13.3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 xml:space="preserve">Foi especificada a quantidade mínima da parcela do objeto que deverá ser comprovada por meio de atestado de capacidade técnica, bem como foi respeitado a quantidade de até 50% da referida parcela?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84" w:firstLine="0"/>
              <w:jc w:val="right"/>
            </w:pPr>
            <w:r>
              <w:rPr>
                <w:b/>
              </w:rPr>
              <w:t xml:space="preserve">14.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A exigência de comprovação da boa situação financeira do licitante, por meio coeficientes e índices econômicos, foi justificada no processo?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204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0" w:right="184" w:firstLine="0"/>
              <w:jc w:val="right"/>
            </w:pPr>
            <w:r>
              <w:rPr>
                <w:b/>
              </w:rPr>
              <w:t xml:space="preserve">15.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8" w:lineRule="auto"/>
              <w:ind w:left="121" w:right="5" w:firstLine="0"/>
            </w:pPr>
            <w:r>
              <w:t xml:space="preserve">O Termo de Referência foi assinado, rubricado em todas as suas folhas e datado pela equipe de planejamento da contratação, bem como aprovada pela autoridade competente? </w:t>
            </w:r>
          </w:p>
          <w:p w:rsidR="00F2380C" w:rsidRDefault="003C2B7F">
            <w:pPr>
              <w:spacing w:after="0" w:line="259" w:lineRule="auto"/>
              <w:ind w:left="121" w:right="5" w:firstLine="0"/>
            </w:pPr>
            <w:r>
              <w:rPr>
                <w:i/>
              </w:rPr>
              <w:t>OBS: Na contratação específica, o Termo de Referência deverá ser assinado pela autorid</w:t>
            </w:r>
            <w:r>
              <w:rPr>
                <w:i/>
              </w:rPr>
              <w:t>ade máxima do órgão ou entidade demandante. Por outro lado, na contratação centralizada, inclusive no caso daquela originalmente iniciada como específica, o Termo de Referência foi aprovado pelo(a) Secretário(a)-Executivo(a) de Licitações? (art. 7º, §§3º e</w:t>
            </w:r>
            <w:r>
              <w:rPr>
                <w:i/>
              </w:rPr>
              <w:t xml:space="preserve"> 4º, do Decreto Estadual nº 16.122/2023).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432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24"/>
              </w:rPr>
              <w:t xml:space="preserve">PESQUISA DE PREÇO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77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9" w:lineRule="auto"/>
              <w:ind w:left="121" w:right="0" w:firstLine="0"/>
            </w:pPr>
            <w:r>
              <w:t xml:space="preserve">A pesquisa de preços foi materializada em documento contendo, no mínimo, os elementos exigidos no art. 5º do Decreto nº 15.940/2022? </w:t>
            </w:r>
          </w:p>
          <w:p w:rsidR="00F2380C" w:rsidRDefault="003C2B7F">
            <w:pPr>
              <w:spacing w:after="0" w:line="259" w:lineRule="auto"/>
              <w:ind w:left="121" w:right="0" w:firstLine="0"/>
              <w:jc w:val="left"/>
            </w:pPr>
            <w:r>
              <w:rPr>
                <w:i/>
              </w:rPr>
              <w:t>OBS</w:t>
            </w:r>
            <w:r>
              <w:t xml:space="preserve">: </w:t>
            </w:r>
            <w:r>
              <w:rPr>
                <w:i/>
              </w:rPr>
              <w:t>I - identificação do processo administrativo; II - identificação do objeto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2380C" w:rsidRDefault="00F2380C">
      <w:pPr>
        <w:spacing w:after="0" w:line="259" w:lineRule="auto"/>
        <w:ind w:left="-1200" w:right="10822" w:firstLine="0"/>
        <w:jc w:val="left"/>
      </w:pPr>
    </w:p>
    <w:tbl>
      <w:tblPr>
        <w:tblStyle w:val="TableGrid"/>
        <w:tblW w:w="10470" w:type="dxa"/>
        <w:tblInd w:w="-19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588"/>
        <w:gridCol w:w="1291"/>
        <w:gridCol w:w="833"/>
      </w:tblGrid>
      <w:tr w:rsidR="00F2380C">
        <w:trPr>
          <w:trHeight w:val="1294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rPr>
                <w:i/>
              </w:rPr>
              <w:t>pesquisado; III - identificação da fonte de pesquisa e o preço praticado; IV - método utilizado para a definição do valor estimado e a respectiva justificativa da escolha; V - justificativa para exclusão de preços considerados inexequíveis ou excessivament</w:t>
            </w:r>
            <w:r>
              <w:rPr>
                <w:i/>
              </w:rPr>
              <w:t xml:space="preserve">e elevados; VI - identificação do servidor responsável pela elaboração da pesquisa e do mapa comparativo de preços; VII - data da sua elaboração.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F238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A pesquisa de preço foi realizada após a elaboração do Termo de Referência?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A pesquisa de preço utilizou uma cesta de preços aceitável, com no mínimo três pesquisas?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Em caso de pesquisa com menos de três preços, apresentou-se justificativa?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4.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As pesquisas utilizaram preferencialmente os parâmetros estabelecidos nos incisos I a IV do caput do art. 4º do Decreto Estadual nº 15.940/2022?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72" w:right="0" w:firstLine="0"/>
              <w:jc w:val="left"/>
            </w:pPr>
            <w:r>
              <w:rPr>
                <w:b/>
              </w:rPr>
              <w:t xml:space="preserve">4.1.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Em caso de não utilização da preferência de que trata o subitem 4 desta Lista de Verificação, os responsáveis pela pesquisa de preço apresentaram as justificativas cabíveis?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Na hipótese em que tenha se utilizado de cotação direta com o fornecedor, foi apresentada a justificativa quanto a escolha dos fornecedores consultados?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As pesquisas feitas observaram os termos iniciais e finais de validade fixados nos dispositivos legais que regem essa fase do procedimento?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53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>Foram juntados os documentos da pesquisa de preço, dentre eles, os relatórios emitidos pelos sítios eletrônicos, portais e ferramentas governamentais, das páginas consultadas dos portais de compras governamentais, dos contratos e das atas de registro de pr</w:t>
            </w:r>
            <w:r>
              <w:t xml:space="preserve">eços vigentes firmados por outros órgãos públicos, das páginas consultadas nos sites especializados e da resposta obtida perante o fornecedor, ainda que se trate de manifestação de desinteresse de ofertar cotação?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8.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>Foi utilizado como métodos mate</w:t>
            </w:r>
            <w:r>
              <w:t xml:space="preserve">máticos para definição do valor estimado da contratação a média ou a mediana, na forma do §1º do art. 6º do Decreto Estadual nº </w:t>
            </w:r>
            <w:r>
              <w:t xml:space="preserve">15.940/2022?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72" w:right="0" w:firstLine="0"/>
              <w:jc w:val="left"/>
            </w:pPr>
            <w:r>
              <w:rPr>
                <w:b/>
              </w:rPr>
              <w:t xml:space="preserve">8.1.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Caso tenha sido utilizado outros critérios para definição do valor estimado da contratação, distintos daqueles métodos matemáticos previstos no §1º do art. 6º do Decreto Estadual nº 15.940/2022, essa circunstância foi devidamente justificada pelo servidor </w:t>
            </w:r>
            <w:r>
              <w:t xml:space="preserve">responsável e aprovado pela autoridade competente?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9. 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A equipe de planejamento optou pela adoção do orçamento sigiloso?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72" w:right="0" w:firstLine="0"/>
              <w:jc w:val="left"/>
            </w:pPr>
            <w:r>
              <w:rPr>
                <w:b/>
              </w:rPr>
              <w:t xml:space="preserve">9.1.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Na hipótese em que tenha sido adotado o orçamento sigiloso, foram apresentadas as razões e justificativas para a escolha feita?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9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4"/>
              </w:rPr>
              <w:t xml:space="preserve">MODALIDADE LICITATÓRIA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52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Consta no processo decisão justificada e assinada quanto à escolha da modalidade licitatória?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  <w:jc w:val="left"/>
            </w:pPr>
            <w:r>
              <w:t xml:space="preserve">Sendo enquadrado o objeto como bem ou serviço comum, foi adotado o pregão eletrônico?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312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9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251" w:right="0" w:firstLine="0"/>
              <w:jc w:val="left"/>
            </w:pPr>
            <w:r>
              <w:rPr>
                <w:b/>
                <w:sz w:val="24"/>
              </w:rPr>
              <w:t xml:space="preserve">LICITAÇÃO EXCLUSIVA E RESERVA DE COTA PARA ME/EPP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52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 xml:space="preserve">Consta no processo decisão analisando o tratamento diferenciado à ME e EPP? (art. 48 da LC nº 123/2006)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3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5" w:firstLine="0"/>
            </w:pPr>
            <w:r>
              <w:t xml:space="preserve">Na hipótese de licitação exclusiva ou cota reservada para ME/EPP, foi comprovada a existência de pelo menos 3 (três) fornecedores competitivos sediados local ou regionalmente e capazes de cumprir as exigências estabelecidas no instrumento convocatório?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23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2380C" w:rsidRDefault="003C2B7F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44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9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EDITAL, CONTRATO E ATA (ARP)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52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8" w:right="0" w:firstLine="0"/>
            </w:pPr>
            <w:r>
              <w:t>Foram adotadas as minutas-padrão (i) de edital; (ii) de contrato e de (iii) ata de registro de preços, aprovadas pela PGE/MS e específicas para o sistema de registro de preços?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36"/>
        </w:trPr>
        <w:tc>
          <w:tcPr>
            <w:tcW w:w="75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Foi incluído/excluído/alterado algum elemento das minutas padronizadas que demanda uma análise jurídica específica? </w:t>
            </w:r>
          </w:p>
        </w:tc>
        <w:tc>
          <w:tcPr>
            <w:tcW w:w="129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>Consta dos autos a “</w:t>
            </w:r>
            <w:r>
              <w:rPr>
                <w:i/>
              </w:rPr>
              <w:t>Certidão de Atendimento às Minutas de Edital, de Contrato e de Ata de Registro de Preços padronizadas”</w:t>
            </w:r>
            <w:r>
              <w:t xml:space="preserve">, atestando que o conteúdo do Edital, do Contrato e da ARP seguiu a versão mais atualizada pela PGE/MS?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1" w:righ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A certidão informou se foi incluído/excluído/alterado algum elemento das minutas padronizadas que demanda análise jurídica?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53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1" w:right="0" w:firstLine="0"/>
              <w:jc w:val="left"/>
            </w:pPr>
            <w:r>
              <w:rPr>
                <w:b/>
              </w:rPr>
              <w:t xml:space="preserve">3.2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37" w:lineRule="auto"/>
              <w:ind w:left="121" w:right="5" w:firstLine="0"/>
            </w:pPr>
            <w:r>
              <w:t xml:space="preserve">A necessidade de análise jurídica de que trata o subitem 3.1 desta lista de verificação já está abrangida pelas recomendações contidas no Parecer Referencial PGE/MS/CJUR-SEL nº 01/2023 ou no Parecer Referencial PGE/MS/CJUR-SEL nº </w:t>
            </w:r>
            <w:r>
              <w:t xml:space="preserve">02/2023? </w:t>
            </w:r>
          </w:p>
          <w:p w:rsidR="00F2380C" w:rsidRDefault="003C2B7F">
            <w:pPr>
              <w:spacing w:after="0" w:line="259" w:lineRule="auto"/>
              <w:ind w:left="121" w:right="0" w:firstLine="0"/>
            </w:pPr>
            <w:r>
              <w:rPr>
                <w:i/>
              </w:rPr>
              <w:t>OBS: Em caso neg</w:t>
            </w:r>
            <w:r>
              <w:rPr>
                <w:i/>
              </w:rPr>
              <w:t>ativo, os autos devem ser remetidos à PGE/MS, para a análise específica sobre esses pontos (Decreto Estadual nº 15.404/2020).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102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>O edital previu a possibilidade de registro de “aderentes de preços”, isso é, dos fornecedores que aceitem cotar o objeto em preço igual ao do licitante vencedor, assegurada a preferência de contratação de acordo com a ordem de classificação? (art. 82, VII</w:t>
            </w:r>
            <w:r>
              <w:t xml:space="preserve">, da Lei nº 14.133/2021 e art. 16, §1º, do Decreto Estadual nº 16.122/2023)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5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A ARP constou as condições para alteração dos preços registrados, previstas aos arts. 20 a 24 do Decreto Estadual nº 16.122/2023? (art. 82, VI, da Lei nº 14.133/2021)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776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291" w:right="0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5" w:firstLine="0"/>
            </w:pPr>
            <w:r>
              <w:t xml:space="preserve">A ARP tratou das hipóteses de cancelamento da ata de registro de preços e suas respectivas consequências? (arts. 26 a 28 do Decreto Estadual nº 16.122/2023) art. 82, IX, da Lei nº 14.133/2021)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380C">
        <w:trPr>
          <w:trHeight w:val="446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 xml:space="preserve">Item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ENCERRAMENTO DA FASE PREPARATÓRIA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4"/>
              </w:rPr>
              <w:t xml:space="preserve">S / N / N. A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F2380C" w:rsidRDefault="003C2B7F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4"/>
              </w:rPr>
              <w:t xml:space="preserve">Fl. </w:t>
            </w:r>
          </w:p>
        </w:tc>
      </w:tr>
      <w:tr w:rsidR="00F2380C">
        <w:trPr>
          <w:trHeight w:val="52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80C" w:rsidRDefault="003C2B7F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121" w:right="0" w:firstLine="0"/>
            </w:pPr>
            <w:r>
              <w:t xml:space="preserve">O agente de contratação da fase interna certificou o encerramento da fase preparatória? (caput do art. 12 do Decreto Estadual nº 15.941/2022)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80C" w:rsidRDefault="003C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2380C" w:rsidRDefault="003C2B7F">
      <w:pPr>
        <w:spacing w:after="93" w:line="259" w:lineRule="auto"/>
        <w:ind w:left="502" w:right="0" w:firstLine="0"/>
      </w:pPr>
      <w:r>
        <w:rPr>
          <w:b/>
          <w:sz w:val="26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10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10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10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108" w:line="259" w:lineRule="auto"/>
        <w:ind w:left="502" w:right="0" w:firstLine="0"/>
      </w:pPr>
      <w:r>
        <w:rPr>
          <w:b/>
          <w:sz w:val="23"/>
        </w:rPr>
        <w:t xml:space="preserve"> </w:t>
      </w:r>
    </w:p>
    <w:p w:rsidR="00F2380C" w:rsidRDefault="003C2B7F">
      <w:pPr>
        <w:spacing w:after="0" w:line="259" w:lineRule="auto"/>
        <w:ind w:left="502" w:right="0" w:firstLine="0"/>
      </w:pPr>
      <w:r>
        <w:rPr>
          <w:b/>
          <w:sz w:val="23"/>
        </w:rPr>
        <w:t xml:space="preserve"> </w:t>
      </w:r>
    </w:p>
    <w:sectPr w:rsidR="00F2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79" w:right="1078" w:bottom="1456" w:left="1200" w:header="624" w:footer="700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7F" w:rsidRDefault="003C2B7F">
      <w:pPr>
        <w:spacing w:after="0" w:line="240" w:lineRule="auto"/>
      </w:pPr>
      <w:r>
        <w:separator/>
      </w:r>
    </w:p>
  </w:endnote>
  <w:endnote w:type="continuationSeparator" w:id="0">
    <w:p w:rsidR="003C2B7F" w:rsidRDefault="003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C" w:rsidRDefault="003C2B7F">
    <w:pPr>
      <w:spacing w:after="0" w:line="259" w:lineRule="auto"/>
      <w:ind w:left="0" w:right="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9976096</wp:posOffset>
              </wp:positionV>
              <wp:extent cx="5568696" cy="18288"/>
              <wp:effectExtent l="0" t="0" r="0" b="0"/>
              <wp:wrapSquare wrapText="bothSides"/>
              <wp:docPr id="32323" name="Group 32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6" cy="18288"/>
                        <a:chOff x="0" y="0"/>
                        <a:chExt cx="5568696" cy="18288"/>
                      </a:xfrm>
                    </wpg:grpSpPr>
                    <wps:wsp>
                      <wps:cNvPr id="33437" name="Shape 33437"/>
                      <wps:cNvSpPr/>
                      <wps:spPr>
                        <a:xfrm>
                          <a:off x="0" y="0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8" name="Shape 33438"/>
                      <wps:cNvSpPr/>
                      <wps:spPr>
                        <a:xfrm>
                          <a:off x="0" y="12192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23" style="width:438.48pt;height:1.44pt;position:absolute;mso-position-horizontal-relative:page;mso-position-horizontal:absolute;margin-left:83.64pt;mso-position-vertical-relative:page;margin-top:785.519pt;" coordsize="55686,182">
              <v:shape id="Shape 33439" style="position:absolute;width:55686;height:91;left:0;top:0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v:shape id="Shape 33440" style="position:absolute;width:55686;height:91;left:0;top:121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2380C" w:rsidRDefault="003C2B7F">
    <w:pPr>
      <w:spacing w:after="26" w:line="259" w:lineRule="auto"/>
      <w:ind w:left="1695" w:right="0" w:firstLine="0"/>
      <w:jc w:val="left"/>
    </w:pPr>
    <w:r>
      <w:rPr>
        <w:rFonts w:ascii="Calibri" w:eastAsia="Calibri" w:hAnsi="Calibri" w:cs="Calibri"/>
        <w:sz w:val="16"/>
      </w:rPr>
      <w:t xml:space="preserve">Av. Des. José Nunes da Cunha, Bloco IV, Parque dos Poderes, Campo Grande/MS, CEP 79.031-310 </w:t>
    </w:r>
  </w:p>
  <w:p w:rsidR="00F2380C" w:rsidRDefault="003C2B7F">
    <w:pPr>
      <w:tabs>
        <w:tab w:val="center" w:pos="3316"/>
        <w:tab w:val="center" w:pos="6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0000FF"/>
        <w:sz w:val="16"/>
        <w:u w:val="single" w:color="0000FF"/>
      </w:rPr>
      <w:t>www.pge.ms.gov.br</w:t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>(67) 3318-2661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C" w:rsidRDefault="003C2B7F">
    <w:pPr>
      <w:spacing w:after="0" w:line="259" w:lineRule="auto"/>
      <w:ind w:left="0" w:right="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9976096</wp:posOffset>
              </wp:positionV>
              <wp:extent cx="5568696" cy="18288"/>
              <wp:effectExtent l="0" t="0" r="0" b="0"/>
              <wp:wrapSquare wrapText="bothSides"/>
              <wp:docPr id="32245" name="Group 32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6" cy="18288"/>
                        <a:chOff x="0" y="0"/>
                        <a:chExt cx="5568696" cy="18288"/>
                      </a:xfrm>
                    </wpg:grpSpPr>
                    <wps:wsp>
                      <wps:cNvPr id="33433" name="Shape 33433"/>
                      <wps:cNvSpPr/>
                      <wps:spPr>
                        <a:xfrm>
                          <a:off x="0" y="0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4" name="Shape 33434"/>
                      <wps:cNvSpPr/>
                      <wps:spPr>
                        <a:xfrm>
                          <a:off x="0" y="12192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45" style="width:438.48pt;height:1.44pt;position:absolute;mso-position-horizontal-relative:page;mso-position-horizontal:absolute;margin-left:83.64pt;mso-position-vertical-relative:page;margin-top:785.519pt;" coordsize="55686,182">
              <v:shape id="Shape 33435" style="position:absolute;width:55686;height:91;left:0;top:0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v:shape id="Shape 33436" style="position:absolute;width:55686;height:91;left:0;top:121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B5D91" w:rsidRPr="002B5D91">
      <w:rPr>
        <w:rFonts w:ascii="Calibri" w:eastAsia="Calibri" w:hAnsi="Calibri" w:cs="Calibri"/>
        <w:noProof/>
      </w:rPr>
      <w:t>38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2380C" w:rsidRDefault="003C2B7F">
    <w:pPr>
      <w:spacing w:after="26" w:line="259" w:lineRule="auto"/>
      <w:ind w:left="1695" w:right="0" w:firstLine="0"/>
      <w:jc w:val="left"/>
    </w:pPr>
    <w:r>
      <w:rPr>
        <w:rFonts w:ascii="Calibri" w:eastAsia="Calibri" w:hAnsi="Calibri" w:cs="Calibri"/>
        <w:sz w:val="16"/>
      </w:rPr>
      <w:t xml:space="preserve">Av. Des. José Nunes da Cunha, Bloco IV, Parque dos Poderes, Campo Grande/MS, CEP 79.031-310 </w:t>
    </w:r>
  </w:p>
  <w:p w:rsidR="00F2380C" w:rsidRDefault="003C2B7F">
    <w:pPr>
      <w:tabs>
        <w:tab w:val="center" w:pos="3316"/>
        <w:tab w:val="center" w:pos="6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0000FF"/>
        <w:sz w:val="16"/>
        <w:u w:val="single" w:color="0000FF"/>
      </w:rPr>
      <w:t>www.pge.ms.gov.br</w:t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>(67) 3318-2661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C" w:rsidRDefault="003C2B7F">
    <w:pPr>
      <w:spacing w:after="0" w:line="259" w:lineRule="auto"/>
      <w:ind w:left="0" w:right="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9976096</wp:posOffset>
              </wp:positionV>
              <wp:extent cx="5568696" cy="18288"/>
              <wp:effectExtent l="0" t="0" r="0" b="0"/>
              <wp:wrapSquare wrapText="bothSides"/>
              <wp:docPr id="32167" name="Group 32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6" cy="18288"/>
                        <a:chOff x="0" y="0"/>
                        <a:chExt cx="5568696" cy="18288"/>
                      </a:xfrm>
                    </wpg:grpSpPr>
                    <wps:wsp>
                      <wps:cNvPr id="33429" name="Shape 33429"/>
                      <wps:cNvSpPr/>
                      <wps:spPr>
                        <a:xfrm>
                          <a:off x="0" y="0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0" name="Shape 33430"/>
                      <wps:cNvSpPr/>
                      <wps:spPr>
                        <a:xfrm>
                          <a:off x="0" y="12192"/>
                          <a:ext cx="5568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6" h="9144">
                              <a:moveTo>
                                <a:pt x="0" y="0"/>
                              </a:moveTo>
                              <a:lnTo>
                                <a:pt x="5568696" y="0"/>
                              </a:lnTo>
                              <a:lnTo>
                                <a:pt x="5568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167" style="width:438.48pt;height:1.44pt;position:absolute;mso-position-horizontal-relative:page;mso-position-horizontal:absolute;margin-left:83.64pt;mso-position-vertical-relative:page;margin-top:785.519pt;" coordsize="55686,182">
              <v:shape id="Shape 33431" style="position:absolute;width:55686;height:91;left:0;top:0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v:shape id="Shape 33432" style="position:absolute;width:55686;height:91;left:0;top:121;" coordsize="5568696,9144" path="m0,0l5568696,0l5568696,9144l0,9144l0,0">
                <v:stroke weight="0pt" endcap="round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2380C" w:rsidRDefault="003C2B7F">
    <w:pPr>
      <w:spacing w:after="26" w:line="259" w:lineRule="auto"/>
      <w:ind w:left="1695" w:right="0" w:firstLine="0"/>
      <w:jc w:val="left"/>
    </w:pPr>
    <w:r>
      <w:rPr>
        <w:rFonts w:ascii="Calibri" w:eastAsia="Calibri" w:hAnsi="Calibri" w:cs="Calibri"/>
        <w:sz w:val="16"/>
      </w:rPr>
      <w:t xml:space="preserve">Av. Des. José Nunes da Cunha, Bloco IV, Parque dos Poderes, Campo Grande/MS, CEP 79.031-310 </w:t>
    </w:r>
  </w:p>
  <w:p w:rsidR="00F2380C" w:rsidRDefault="003C2B7F">
    <w:pPr>
      <w:tabs>
        <w:tab w:val="center" w:pos="3316"/>
        <w:tab w:val="center" w:pos="6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0000FF"/>
        <w:sz w:val="16"/>
        <w:u w:val="single" w:color="0000FF"/>
      </w:rPr>
      <w:t>www.pge.ms.gov.br</w:t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  <w:t>(67) 3318-2661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7F" w:rsidRDefault="003C2B7F">
      <w:pPr>
        <w:spacing w:after="0" w:line="240" w:lineRule="auto"/>
      </w:pPr>
      <w:r>
        <w:separator/>
      </w:r>
    </w:p>
  </w:footnote>
  <w:footnote w:type="continuationSeparator" w:id="0">
    <w:p w:rsidR="003C2B7F" w:rsidRDefault="003C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254" w:tblpY="631"/>
      <w:tblOverlap w:val="never"/>
      <w:tblW w:w="2476" w:type="dxa"/>
      <w:tblInd w:w="0" w:type="dxa"/>
      <w:tblCellMar>
        <w:top w:w="0" w:type="dxa"/>
        <w:left w:w="151" w:type="dxa"/>
        <w:bottom w:w="51" w:type="dxa"/>
        <w:right w:w="174" w:type="dxa"/>
      </w:tblCellMar>
      <w:tblLook w:val="04A0" w:firstRow="1" w:lastRow="0" w:firstColumn="1" w:lastColumn="0" w:noHBand="0" w:noVBand="1"/>
    </w:tblPr>
    <w:tblGrid>
      <w:gridCol w:w="2476"/>
    </w:tblGrid>
    <w:tr w:rsidR="00F2380C">
      <w:trPr>
        <w:trHeight w:val="1006"/>
      </w:trPr>
      <w:tc>
        <w:tcPr>
          <w:tcW w:w="2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7" w:space="0" w:color="000000"/>
          </w:tcBorders>
          <w:vAlign w:val="bottom"/>
        </w:tcPr>
        <w:p w:rsidR="00F2380C" w:rsidRDefault="003C2B7F">
          <w:pPr>
            <w:spacing w:after="0" w:line="238" w:lineRule="auto"/>
            <w:ind w:left="0" w:right="0" w:firstLine="0"/>
          </w:pPr>
          <w:r>
            <w:rPr>
              <w:rFonts w:ascii="Calibri" w:eastAsia="Calibri" w:hAnsi="Calibri" w:cs="Calibri"/>
              <w:b/>
              <w:sz w:val="16"/>
            </w:rPr>
            <w:t xml:space="preserve">Proc. Adm. nº. 15/001967/2023 Data: 21/08/2023   Fl.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Rubrica: </w:t>
          </w:r>
          <w:r>
            <w:rPr>
              <w:rFonts w:ascii="Calibri" w:eastAsia="Calibri" w:hAnsi="Calibri" w:cs="Calibri"/>
              <w:sz w:val="16"/>
            </w:rPr>
            <w:t xml:space="preserve"> </w:t>
          </w:r>
        </w:p>
      </w:tc>
    </w:tr>
  </w:tbl>
  <w:p w:rsidR="00F2380C" w:rsidRDefault="003C2B7F">
    <w:pPr>
      <w:spacing w:after="0" w:line="259" w:lineRule="auto"/>
      <w:ind w:left="504" w:right="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449559</wp:posOffset>
              </wp:positionV>
              <wp:extent cx="1900428" cy="572916"/>
              <wp:effectExtent l="0" t="0" r="0" b="0"/>
              <wp:wrapSquare wrapText="bothSides"/>
              <wp:docPr id="32296" name="Group 3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0428" cy="572916"/>
                        <a:chOff x="0" y="0"/>
                        <a:chExt cx="1900428" cy="572916"/>
                      </a:xfrm>
                    </wpg:grpSpPr>
                    <wps:wsp>
                      <wps:cNvPr id="32299" name="Rectangle 32299"/>
                      <wps:cNvSpPr/>
                      <wps:spPr>
                        <a:xfrm>
                          <a:off x="1828802" y="565761"/>
                          <a:ext cx="2754" cy="9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380C" w:rsidRDefault="003C2B7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27" name="Shape 33427"/>
                      <wps:cNvSpPr/>
                      <wps:spPr>
                        <a:xfrm>
                          <a:off x="1894332" y="0"/>
                          <a:ext cx="91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71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298" name="Picture 322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1"/>
                          <a:ext cx="1819656" cy="5623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96" style="width:149.64pt;height:45.1115pt;position:absolute;mso-position-horizontal-relative:page;mso-position-horizontal:absolute;margin-left:85.2pt;mso-position-vertical-relative:page;margin-top:35.3984pt;" coordsize="19004,5729">
              <v:rect id="Rectangle 32299" style="position:absolute;width:27;height:95;left:18288;top:56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b w:val="1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 id="Shape 33428" style="position:absolute;width:91;height:5715;left:18943;top:0;" coordsize="9144,571500" path="m0,0l9144,0l9144,571500l0,571500l0,0">
                <v:stroke weight="0pt" endcap="round" joinstyle="round" on="false" color="#000000" opacity="0"/>
                <v:fill on="true" color="#000000"/>
              </v:shape>
              <v:shape id="Picture 32298" style="position:absolute;width:18196;height:5623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CJUR-SEL </w:t>
    </w:r>
  </w:p>
  <w:p w:rsidR="00F2380C" w:rsidRDefault="003C2B7F">
    <w:pPr>
      <w:spacing w:after="107" w:line="254" w:lineRule="auto"/>
      <w:ind w:left="504" w:right="92" w:firstLine="0"/>
    </w:pPr>
    <w:r>
      <w:rPr>
        <w:rFonts w:ascii="Calibri" w:eastAsia="Calibri" w:hAnsi="Calibri" w:cs="Calibri"/>
        <w:sz w:val="18"/>
      </w:rPr>
      <w:t>Coordenadoria Jurídica da ProcuradoriaGeral do Estado na Secretaria-Executiva de Licitações</w:t>
    </w:r>
    <w:r>
      <w:rPr>
        <w:sz w:val="18"/>
      </w:rPr>
      <w:t xml:space="preserve"> </w:t>
    </w:r>
  </w:p>
  <w:p w:rsidR="00F2380C" w:rsidRDefault="003C2B7F">
    <w:pPr>
      <w:spacing w:after="0" w:line="259" w:lineRule="auto"/>
      <w:ind w:left="502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254" w:tblpY="631"/>
      <w:tblOverlap w:val="never"/>
      <w:tblW w:w="2476" w:type="dxa"/>
      <w:tblInd w:w="0" w:type="dxa"/>
      <w:tblCellMar>
        <w:top w:w="0" w:type="dxa"/>
        <w:left w:w="151" w:type="dxa"/>
        <w:bottom w:w="51" w:type="dxa"/>
        <w:right w:w="174" w:type="dxa"/>
      </w:tblCellMar>
      <w:tblLook w:val="04A0" w:firstRow="1" w:lastRow="0" w:firstColumn="1" w:lastColumn="0" w:noHBand="0" w:noVBand="1"/>
    </w:tblPr>
    <w:tblGrid>
      <w:gridCol w:w="2476"/>
    </w:tblGrid>
    <w:tr w:rsidR="00F2380C">
      <w:trPr>
        <w:trHeight w:val="1006"/>
      </w:trPr>
      <w:tc>
        <w:tcPr>
          <w:tcW w:w="2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7" w:space="0" w:color="000000"/>
          </w:tcBorders>
          <w:vAlign w:val="bottom"/>
        </w:tcPr>
        <w:p w:rsidR="00F2380C" w:rsidRDefault="003C2B7F">
          <w:pPr>
            <w:spacing w:after="0" w:line="238" w:lineRule="auto"/>
            <w:ind w:left="0" w:right="0" w:firstLine="0"/>
          </w:pPr>
          <w:r>
            <w:rPr>
              <w:rFonts w:ascii="Calibri" w:eastAsia="Calibri" w:hAnsi="Calibri" w:cs="Calibri"/>
              <w:b/>
              <w:sz w:val="16"/>
            </w:rPr>
            <w:t xml:space="preserve">Proc. </w:t>
          </w:r>
          <w:r>
            <w:rPr>
              <w:rFonts w:ascii="Calibri" w:eastAsia="Calibri" w:hAnsi="Calibri" w:cs="Calibri"/>
              <w:b/>
              <w:sz w:val="16"/>
            </w:rPr>
            <w:t xml:space="preserve">Adm. nº. 15/001967/2023 Data: 21/08/2023   Fl.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Rubrica: </w:t>
          </w:r>
          <w:r>
            <w:rPr>
              <w:rFonts w:ascii="Calibri" w:eastAsia="Calibri" w:hAnsi="Calibri" w:cs="Calibri"/>
              <w:sz w:val="16"/>
            </w:rPr>
            <w:t xml:space="preserve"> </w:t>
          </w:r>
        </w:p>
      </w:tc>
    </w:tr>
  </w:tbl>
  <w:p w:rsidR="00F2380C" w:rsidRDefault="003C2B7F">
    <w:pPr>
      <w:spacing w:after="0" w:line="259" w:lineRule="auto"/>
      <w:ind w:left="504" w:right="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449559</wp:posOffset>
              </wp:positionV>
              <wp:extent cx="1900428" cy="572916"/>
              <wp:effectExtent l="0" t="0" r="0" b="0"/>
              <wp:wrapSquare wrapText="bothSides"/>
              <wp:docPr id="32218" name="Group 32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0428" cy="572916"/>
                        <a:chOff x="0" y="0"/>
                        <a:chExt cx="1900428" cy="572916"/>
                      </a:xfrm>
                    </wpg:grpSpPr>
                    <wps:wsp>
                      <wps:cNvPr id="32221" name="Rectangle 32221"/>
                      <wps:cNvSpPr/>
                      <wps:spPr>
                        <a:xfrm>
                          <a:off x="1828802" y="565761"/>
                          <a:ext cx="2754" cy="9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380C" w:rsidRDefault="003C2B7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25" name="Shape 33425"/>
                      <wps:cNvSpPr/>
                      <wps:spPr>
                        <a:xfrm>
                          <a:off x="1894332" y="0"/>
                          <a:ext cx="91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71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220" name="Picture 322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1"/>
                          <a:ext cx="1819656" cy="5623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18" style="width:149.64pt;height:45.1115pt;position:absolute;mso-position-horizontal-relative:page;mso-position-horizontal:absolute;margin-left:85.2pt;mso-position-vertical-relative:page;margin-top:35.3984pt;" coordsize="19004,5729">
              <v:rect id="Rectangle 32221" style="position:absolute;width:27;height:95;left:18288;top:56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b w:val="1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 id="Shape 33426" style="position:absolute;width:91;height:5715;left:18943;top:0;" coordsize="9144,571500" path="m0,0l9144,0l9144,571500l0,571500l0,0">
                <v:stroke weight="0pt" endcap="round" joinstyle="round" on="false" color="#000000" opacity="0"/>
                <v:fill on="true" color="#000000"/>
              </v:shape>
              <v:shape id="Picture 32220" style="position:absolute;width:18196;height:5623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CJUR-SEL </w:t>
    </w:r>
  </w:p>
  <w:p w:rsidR="00F2380C" w:rsidRDefault="003C2B7F">
    <w:pPr>
      <w:spacing w:after="107" w:line="254" w:lineRule="auto"/>
      <w:ind w:left="504" w:right="92" w:firstLine="0"/>
    </w:pPr>
    <w:r>
      <w:rPr>
        <w:rFonts w:ascii="Calibri" w:eastAsia="Calibri" w:hAnsi="Calibri" w:cs="Calibri"/>
        <w:sz w:val="18"/>
      </w:rPr>
      <w:t>Coordenadoria Jurídica da ProcuradoriaGeral do Estado na Secretaria-Executiva de Licitações</w:t>
    </w:r>
    <w:r>
      <w:rPr>
        <w:sz w:val="18"/>
      </w:rPr>
      <w:t xml:space="preserve"> </w:t>
    </w:r>
  </w:p>
  <w:p w:rsidR="00F2380C" w:rsidRDefault="003C2B7F">
    <w:pPr>
      <w:spacing w:after="0" w:line="259" w:lineRule="auto"/>
      <w:ind w:left="502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254" w:tblpY="631"/>
      <w:tblOverlap w:val="never"/>
      <w:tblW w:w="2476" w:type="dxa"/>
      <w:tblInd w:w="0" w:type="dxa"/>
      <w:tblCellMar>
        <w:top w:w="0" w:type="dxa"/>
        <w:left w:w="151" w:type="dxa"/>
        <w:bottom w:w="51" w:type="dxa"/>
        <w:right w:w="174" w:type="dxa"/>
      </w:tblCellMar>
      <w:tblLook w:val="04A0" w:firstRow="1" w:lastRow="0" w:firstColumn="1" w:lastColumn="0" w:noHBand="0" w:noVBand="1"/>
    </w:tblPr>
    <w:tblGrid>
      <w:gridCol w:w="2476"/>
    </w:tblGrid>
    <w:tr w:rsidR="00F2380C">
      <w:trPr>
        <w:trHeight w:val="1006"/>
      </w:trPr>
      <w:tc>
        <w:tcPr>
          <w:tcW w:w="2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7" w:space="0" w:color="000000"/>
          </w:tcBorders>
          <w:vAlign w:val="bottom"/>
        </w:tcPr>
        <w:p w:rsidR="00F2380C" w:rsidRDefault="003C2B7F">
          <w:pPr>
            <w:spacing w:after="0" w:line="238" w:lineRule="auto"/>
            <w:ind w:left="0" w:right="0" w:firstLine="0"/>
          </w:pPr>
          <w:r>
            <w:rPr>
              <w:rFonts w:ascii="Calibri" w:eastAsia="Calibri" w:hAnsi="Calibri" w:cs="Calibri"/>
              <w:b/>
              <w:sz w:val="16"/>
            </w:rPr>
            <w:t xml:space="preserve">Proc. Adm. nº. 15/001967/2023 Data: 21/08/2023   Fl.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 </w:t>
          </w:r>
        </w:p>
        <w:p w:rsidR="00F2380C" w:rsidRDefault="003C2B7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Rubrica: </w:t>
          </w:r>
          <w:r>
            <w:rPr>
              <w:rFonts w:ascii="Calibri" w:eastAsia="Calibri" w:hAnsi="Calibri" w:cs="Calibri"/>
              <w:sz w:val="16"/>
            </w:rPr>
            <w:t xml:space="preserve"> </w:t>
          </w:r>
        </w:p>
      </w:tc>
    </w:tr>
  </w:tbl>
  <w:p w:rsidR="00F2380C" w:rsidRDefault="003C2B7F">
    <w:pPr>
      <w:spacing w:after="0" w:line="259" w:lineRule="auto"/>
      <w:ind w:left="504" w:right="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449559</wp:posOffset>
              </wp:positionV>
              <wp:extent cx="1900428" cy="572916"/>
              <wp:effectExtent l="0" t="0" r="0" b="0"/>
              <wp:wrapSquare wrapText="bothSides"/>
              <wp:docPr id="32140" name="Group 32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0428" cy="572916"/>
                        <a:chOff x="0" y="0"/>
                        <a:chExt cx="1900428" cy="572916"/>
                      </a:xfrm>
                    </wpg:grpSpPr>
                    <wps:wsp>
                      <wps:cNvPr id="32143" name="Rectangle 32143"/>
                      <wps:cNvSpPr/>
                      <wps:spPr>
                        <a:xfrm>
                          <a:off x="1828802" y="565761"/>
                          <a:ext cx="2754" cy="9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380C" w:rsidRDefault="003C2B7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423" name="Shape 33423"/>
                      <wps:cNvSpPr/>
                      <wps:spPr>
                        <a:xfrm>
                          <a:off x="1894332" y="0"/>
                          <a:ext cx="91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71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142" name="Picture 32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1"/>
                          <a:ext cx="1819656" cy="5623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140" style="width:149.64pt;height:45.1115pt;position:absolute;mso-position-horizontal-relative:page;mso-position-horizontal:absolute;margin-left:85.2pt;mso-position-vertical-relative:page;margin-top:35.3984pt;" coordsize="19004,5729">
              <v:rect id="Rectangle 32143" style="position:absolute;width:27;height:95;left:18288;top:56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b w:val="1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 id="Shape 33424" style="position:absolute;width:91;height:5715;left:18943;top:0;" coordsize="9144,571500" path="m0,0l9144,0l9144,571500l0,571500l0,0">
                <v:stroke weight="0pt" endcap="round" joinstyle="round" on="false" color="#000000" opacity="0"/>
                <v:fill on="true" color="#000000"/>
              </v:shape>
              <v:shape id="Picture 32142" style="position:absolute;width:18196;height:5623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CJUR-SEL </w:t>
    </w:r>
  </w:p>
  <w:p w:rsidR="00F2380C" w:rsidRDefault="003C2B7F">
    <w:pPr>
      <w:spacing w:after="107" w:line="254" w:lineRule="auto"/>
      <w:ind w:left="504" w:right="92" w:firstLine="0"/>
    </w:pPr>
    <w:r>
      <w:rPr>
        <w:rFonts w:ascii="Calibri" w:eastAsia="Calibri" w:hAnsi="Calibri" w:cs="Calibri"/>
        <w:sz w:val="18"/>
      </w:rPr>
      <w:t>Coordenadoria Jurídica da ProcuradoriaGeral do Estado na Secretaria-Executiva de Licitações</w:t>
    </w:r>
    <w:r>
      <w:rPr>
        <w:sz w:val="18"/>
      </w:rPr>
      <w:t xml:space="preserve"> </w:t>
    </w:r>
  </w:p>
  <w:p w:rsidR="00F2380C" w:rsidRDefault="003C2B7F">
    <w:pPr>
      <w:spacing w:after="0" w:line="259" w:lineRule="auto"/>
      <w:ind w:left="502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04A"/>
    <w:multiLevelType w:val="hybridMultilevel"/>
    <w:tmpl w:val="C360BFB4"/>
    <w:lvl w:ilvl="0" w:tplc="CC6CF682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4D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CD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86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20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84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4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8E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3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0C"/>
    <w:rsid w:val="002B5D91"/>
    <w:rsid w:val="003C2B7F"/>
    <w:rsid w:val="00F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382F6-5D62-4138-81AE-9FA48D9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57" w:lineRule="auto"/>
      <w:ind w:left="511" w:right="46" w:hanging="511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357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4142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Parecer Referencial CJUR-SEL 002-2023 - NLLC - compra bens comuns com SRP</vt:lpstr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Parecer Referencial CJUR-SEL 002-2023 - NLLC - compra bens comuns com SRP</dc:title>
  <dc:subject/>
  <dc:creator>boliveira</dc:creator>
  <cp:keywords/>
  <cp:lastModifiedBy>Bruna Francisco de Oliveira</cp:lastModifiedBy>
  <cp:revision>2</cp:revision>
  <dcterms:created xsi:type="dcterms:W3CDTF">2023-11-21T15:02:00Z</dcterms:created>
  <dcterms:modified xsi:type="dcterms:W3CDTF">2023-11-21T15:02:00Z</dcterms:modified>
</cp:coreProperties>
</file>