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10" w:rsidRDefault="00483A09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ANEXO II </w:t>
      </w:r>
    </w:p>
    <w:p w:rsidR="00397310" w:rsidRDefault="00483A09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LISTA DE VERIFICAÇÃO – FASE PREPARATÓRIA DO PREGÃO ELETRÔNICO</w:t>
      </w:r>
    </w:p>
    <w:p w:rsidR="00397310" w:rsidRDefault="00483A09" w:rsidP="003C2597">
      <w:pPr>
        <w:widowControl w:val="0"/>
        <w:numPr>
          <w:ilvl w:val="0"/>
          <w:numId w:val="3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 </w:t>
      </w:r>
    </w:p>
    <w:p w:rsidR="00397310" w:rsidRDefault="00483A09" w:rsidP="003C2597">
      <w:pPr>
        <w:widowControl w:val="0"/>
        <w:numPr>
          <w:ilvl w:val="0"/>
          <w:numId w:val="3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Recomenda-se a juntada da lista preenchida nos autos e a cientificação dos seus termos aos órgãos assessorados respectivos.</w:t>
      </w:r>
    </w:p>
    <w:p w:rsidR="00397310" w:rsidRDefault="00483A09" w:rsidP="003C2597">
      <w:pPr>
        <w:widowControl w:val="0"/>
        <w:numPr>
          <w:ilvl w:val="0"/>
          <w:numId w:val="3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utilização da presente lista, deverá o servidor responsável analisar e verificar se eventual RESPOSTA NEGATIVA é causa para devolução do processo para complementação da instrução ou se pode ser objeto de ressalva.</w:t>
      </w:r>
    </w:p>
    <w:p w:rsidR="00397310" w:rsidRDefault="00483A09" w:rsidP="003C2597">
      <w:pPr>
        <w:widowControl w:val="0"/>
        <w:numPr>
          <w:ilvl w:val="0"/>
          <w:numId w:val="3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3ª coluna, preencher apenas com as letras “S”, “N”, “N.A.”, sendo: S – SIM, N – NÃO, N.A. – NÃO SE APLICA.</w:t>
      </w:r>
    </w:p>
    <w:p w:rsidR="00397310" w:rsidRDefault="003973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83F4A" w:rsidRDefault="00283F4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97310" w:rsidRDefault="00483A09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LISTA DE VERIFICAÇÃO DO ORGÃO/ENTIDADE DEMANDANTE</w:t>
      </w:r>
    </w:p>
    <w:p w:rsidR="00283F4A" w:rsidRDefault="00283F4A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1"/>
        <w:tblW w:w="10474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7461"/>
        <w:gridCol w:w="1418"/>
        <w:gridCol w:w="835"/>
      </w:tblGrid>
      <w:tr w:rsidR="00397310">
        <w:trPr>
          <w:trHeight w:val="299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PRÉVIA AUTORIZAÇÃO DA SEGOV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no início dos autos o documento que contém a concordância da Secretaria de Estado de Governo e Gestão Estratégica (SEGOV) para a continuidade da contratação? (art. 3º do Decreto Estadual nº 16.138/2023)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1.1.</w:t>
            </w:r>
          </w:p>
        </w:tc>
        <w:tc>
          <w:tcPr>
            <w:tcW w:w="7461" w:type="dxa"/>
          </w:tcPr>
          <w:p w:rsidR="00397310" w:rsidRDefault="00483A09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Caso a concordância de que trata o item 1 tenha sido proferida com ressalvas, foram promovidas as alterações indicadas pela SEGOV? 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PROCEDIMENTO INICIAL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Houve abertura de processo administrativo pela autoridade máxima da Secretaria de Estado de Educação, por meio da elaboração do “</w:t>
            </w:r>
            <w:r>
              <w:rPr>
                <w:rFonts w:ascii="Times New Roman" w:eastAsia="Times New Roman" w:hAnsi="Times New Roman" w:cs="Times New Roman"/>
                <w:i/>
              </w:rPr>
              <w:t>instrumento de oficialização de pedido</w:t>
            </w:r>
            <w:r>
              <w:rPr>
                <w:rFonts w:ascii="Times New Roman" w:eastAsia="Times New Roman" w:hAnsi="Times New Roman" w:cs="Times New Roman"/>
              </w:rPr>
              <w:t>”? (art. 5º do Decreto nº 15.941/2022).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a atribuição para a abertura do procedimento tenha sido delegada pela autoridade máxima (§2º do art. 5º do Decreto nº 15.941/2022), consta dos autos o ato formal devidamente publicado na imprensa oficial delegando os poderes para o agente púbico delegatário?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“</w:t>
            </w:r>
            <w:r>
              <w:rPr>
                <w:rFonts w:ascii="Times New Roman" w:eastAsia="Times New Roman" w:hAnsi="Times New Roman" w:cs="Times New Roman"/>
                <w:i/>
              </w:rPr>
              <w:t>instrumento de oficialização de pedido</w:t>
            </w:r>
            <w:r>
              <w:rPr>
                <w:rFonts w:ascii="Times New Roman" w:eastAsia="Times New Roman" w:hAnsi="Times New Roman" w:cs="Times New Roman"/>
              </w:rPr>
              <w:t>” está em conformidade com o modelo constante do Anexo I do Decreto nº 15.941/2022?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“</w:t>
            </w:r>
            <w:r>
              <w:rPr>
                <w:rFonts w:ascii="Times New Roman" w:eastAsia="Times New Roman" w:hAnsi="Times New Roman" w:cs="Times New Roman"/>
                <w:i/>
              </w:rPr>
              <w:t>instrumento de oficialização de pedido</w:t>
            </w:r>
            <w:r>
              <w:rPr>
                <w:rFonts w:ascii="Times New Roman" w:eastAsia="Times New Roman" w:hAnsi="Times New Roman" w:cs="Times New Roman"/>
              </w:rPr>
              <w:t>” contém a justificativa da necessidade da contratação e a indicação do agente da contratação da fase interna (art. 5º do Decreto nº 15.941/2022)?</w:t>
            </w:r>
          </w:p>
        </w:tc>
        <w:tc>
          <w:tcPr>
            <w:tcW w:w="1418" w:type="dxa"/>
          </w:tcPr>
          <w:p w:rsidR="00397310" w:rsidRDefault="00397310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5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agente de contratação da fase interna foi designado dentre os servidores efetivos ou empregados públicos dos quadros permanentes da Administração Pública do Poder Executivo Estadual? (art. 3º, </w:t>
            </w:r>
            <w:r>
              <w:rPr>
                <w:rFonts w:ascii="Times New Roman" w:eastAsia="Times New Roman" w:hAnsi="Times New Roman" w:cs="Times New Roman"/>
                <w:i/>
              </w:rPr>
              <w:t>caput</w:t>
            </w:r>
            <w:r>
              <w:rPr>
                <w:rFonts w:ascii="Times New Roman" w:eastAsia="Times New Roman" w:hAnsi="Times New Roman" w:cs="Times New Roman"/>
              </w:rPr>
              <w:t>, do Decreto nº 15.937/2022)?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5"/>
        </w:trPr>
        <w:tc>
          <w:tcPr>
            <w:tcW w:w="760" w:type="dxa"/>
            <w:vAlign w:val="center"/>
          </w:tcPr>
          <w:p w:rsidR="00397310" w:rsidRDefault="00483A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agente de contratação da fase interna designou a equipe de planejamento da contratação?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ESTUDO TÉCNICO PRELIMINAR (ETP)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606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processo de contratação possui Estudo Técnico Preliminar (§ 1º do art. 18 da Lei Federal nº 14.133, de 2021)?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6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7461" w:type="dxa"/>
          </w:tcPr>
          <w:p w:rsidR="00397310" w:rsidRDefault="00483A09">
            <w:pPr>
              <w:ind w:left="1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deixou de ser elaborado em razão de uma das hipóteses de dispensa do inciso III do §6º do art. 7º ou de uma das hipóteses que o torna facultativo do §7º do art. 7º, ambos do Decreto Estadual nº 15.941/2022?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6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hipótese de não elaboração do ETP por uma das hipóteses facultativas do §7º do art. 7º do Decreto Estadual nº 15.941/2022, a equipe de planejamento apresentou as justificativas aptas a comprovarem uma daquelas situações, bem como demonstrou a inexistência de nova(s) solução(ões) no mercado? 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6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Quando não elaborado o ETP, os seus elementos obrigatórios (descritos no § 2º do art. 18 da Lei Federal nº 14.133, de 2021) constam no Termo de Referência?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06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foi elaborado antes do Termo de Referência? (art. 6º, XX, da Lei nº 14.133/2021)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227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contém os elementos obrigatórios descritos no § 2º do art. 18 da Lei Federal nº 14.133, de 2021?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OBS: O ETP deve conter, obrigatoriamente: a descrição da necessidade da contratação (inc. I); (b) a estimativa das quantidades para a contratação (inc. IV); (c) a estimativa do valor da contratação (inc. VI); (d) a justificativa para o parcelamento ou não da solução (inc. VIII); e) o posicionamento conclusivo sobre a viabilidade da contratação (inc. XIII).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683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 elementos não obrigatórios do ETP e que não tenham sido contemplados na elaboração do documento analisado tiveram a sua ausência devidamente justificada pela equipe de planejamento?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OBS: </w:t>
            </w:r>
            <w:r>
              <w:rPr>
                <w:rFonts w:ascii="Times New Roman" w:eastAsia="Times New Roman" w:hAnsi="Times New Roman" w:cs="Times New Roman"/>
                <w:i/>
              </w:rPr>
              <w:t>Os elementos não obrigatórios do ETP são os seguintes: a) demonstração da previsão da contratação no plano de contratações anual (inc. II); b) requisitos da contratação (inc. III); c) levantamento de mercado (inc. V); d) descrição da solução como um todo (inc. VII); e) demonstrativo dos resultados pretendidos em termos de economicidade e de melhor aproveitamento dos recursos humanos, materiais e financeiros disponíveis (inc. IX); f) providências a serem adotadas pela Administração previamente à celebração do contrato (inc. X); g) contratações correlatas e/ou interdependentes (inc. XI); h) descrição de possíveis impactos ambientais e respectivas medidas mitigadoras (inc. XII).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equipe de planejamento indicou a necessidade da contratação?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apresentou as soluções existentes no mercado e promoveu uma efetiva análise comparativa entre elas?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análise comparativa entre as soluções foi orientada por algum dos critérios elencados pelo §1º do art. 7º do Decreto nº 15.941/2022?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OBS: I - vantajosidade econômica, preferencialmente pela comparação do custo total das soluções propostas e da solução atual, quando for o caso; II - ganhos de eficiência administrativa, pela economia de tempo, de recursos materiais e de pessoal; III - continuidade sustentável do modelo de fornecimento do bem ou da prestação de serviço para a Administração Pública Estadual; IV - sustentabilidade social e ambiental, por meio da consideração de objetivos secundários da política de compras públicas; V - incorporação de tecnologias que permitam ganhos de eficiência, exatidão, segurança, transparência, impessoalidade, padronização ou controle; VI - possibilidade de compra ou de locação de bens, a serem avaliados os custos e os benefícios de cada opção para escolha da alternativa mais vantajosa; VII - opções menos onerosas à Administração Pública Estadual, tais como chamamentos públicos de doação e permutas.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6.2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Especificamente, considerando o art. 44 da Lei nº 14.133/2021, quando houver a possibilidade de compra ou de locação de bens, o ETP considerou os custos e os benefícios de cada opção, com indicação da alternativa mais vantajosa?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6.3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Ao final do levantamento, foi demonstrado que a solução escolhida é a que mais se aproxima dos requisitos definidos e que mais promove a competição, levando-se em conta os aspectos de economicidade, eficácia, eficiência e padronização, bem como as práticas de mercado?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 relação aos quantitativos dos bens que se pretende adquirir, o ETP indica a memória de cálculo e a metodologia utilizada para se chegar na estimativa?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Foram juntados os documentos que corroboram as estimativas fixadas no ETP? (art. 18, §1º, IV, da Lei nº 14.133/2021), </w:t>
            </w: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OBS: Na hipótese de constar no ETP a memória de cálculo e a metodologia utilizada para fins de dimensionamento e quantitativo da contratação, esses valem como documentos que corroboram com a estimativa de quantidade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ETP contém justificativas para o parcelamento ou não da contratação? (inciso VIII, §1º, do art.18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§§2º e 3º do art. 40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opção pelo parcelamento da contratação considerou uma das circunstâncias descritas no §2º do art. 40 da Lei nº 14.133/2021?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OBS: </w:t>
            </w:r>
            <w:r>
              <w:rPr>
                <w:rFonts w:ascii="Times New Roman" w:eastAsia="Times New Roman" w:hAnsi="Times New Roman" w:cs="Times New Roman"/>
                <w:i/>
              </w:rPr>
              <w:t>§ 2º Na aplicação do princípio do parcelamento, referente às compras, deverão ser considerados: I - a viabilidade da divisão do objeto em lotes; II - o aproveitamento das peculiaridades do mercado local, com vistas à economicidade, sempre que possível, desde que atendidos os parâmetros de qualidade; e III - o dever de buscar a ampliação da competição e de evitar a concentração de mercado.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8.2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opção pelo NÃO parcelamento da contratação foi fundamentada em uma das hipóteses do §3º do art. 40 da Lei nº 14.133/2021?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OBS: </w:t>
            </w:r>
            <w:r>
              <w:rPr>
                <w:rFonts w:ascii="Times New Roman" w:eastAsia="Times New Roman" w:hAnsi="Times New Roman" w:cs="Times New Roman"/>
                <w:i/>
              </w:rPr>
              <w:t>§ 3º O parcelamento não será adotado quando: I - a economia de escala, a redução de custos de gestão de contratos ou a maior vantagem na contratação recomendar a compra do item do mesmo fornecedor; II - o objeto a ser contratado configurar sistema único e integrado e houver a possibilidade de risco ao conjunto do objeto pretendido; III - o processo de padronização ou de escolha de marca levar a fornecedor exclusivo.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8.3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caso de a contratação vedar a participação de empresas reunidas em consórcio, foram apresentadas as justificativas que motivaram essa decisão?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8.4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caso de a contratação ter permitida a subcontratação parcial do objeto, foram apresentadas as justificativas que motivaram essa decisão e fixados os limites e parcelas do objeto que poderão ser subcontratadas?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demonstrou a previsão da contratação no plano de contratações anual - PCA?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art. 18 da Lei nº 14.133, de 2021)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ETP foi assinado, rubricado em todas as suas folhas e datado pela equipe de planejamento da contratação? (13 do Decreto Estadual n.º 15.941/2022)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TERMO DE REFERÊNCIA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utilizada a versão mais atualizada da minuta padrão de Termos de Referência para compras de gêneros alimentícios para a execução do PNAE, aprovada pela PGE/MS?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nos autos a “</w:t>
            </w:r>
            <w:r>
              <w:rPr>
                <w:rFonts w:ascii="Times New Roman" w:eastAsia="Times New Roman" w:hAnsi="Times New Roman" w:cs="Times New Roman"/>
                <w:i/>
              </w:rPr>
              <w:t>Certidão de Atendimento da Minuta Padronizada</w:t>
            </w:r>
            <w:r>
              <w:rPr>
                <w:rFonts w:ascii="Times New Roman" w:eastAsia="Times New Roman" w:hAnsi="Times New Roman" w:cs="Times New Roman"/>
              </w:rPr>
              <w:t>” que atesta que o conteúdo do Termo de Referência seguiu a versão mais atualizada da minuta-padrão aprovada pela PGE/MS?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certidão informou se foi incluído/excluído/alterado algum elemento da minuta padronizada que demanda análise jurídica?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7461" w:type="dxa"/>
          </w:tcPr>
          <w:p w:rsidR="00397310" w:rsidRDefault="00483A09" w:rsidP="00283F4A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necessidade de análise jurídica de que trata o subitem 2.1 desta lista de verificação já está abrangida pelas recomendações contidas no Parecer Referencial PGE/MS/CJUR-SEL nº 0</w:t>
            </w:r>
            <w:r w:rsidR="00283F4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/2023?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definição dos gêneros alimentícios obedece o cardápio planejado pelo nutricionista responsável com utilização de gêneros alimentícios básicos? 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Foram observados os elementos mínimos da descrição constante no Anexo da Nota Técnica nº 5007/2016/COSAN/CGPAE/DIRAE? 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 produtos alimentícios atendem ao disposto na legislação de alimentos, estabelecida pela ANVISA e pelo órgão da Administração Pública Federal responsável por regulamentar o tema em âmbito nacional?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especificação do objeto no Termo de Referência observou a existência de catálogo eletrônico de padronização?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4.1.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não utilização do catálogo eletrônico de padronização de que trata o subitem 3.3 foi justificada por escrito e anexada ao respectivo processo licitatório? (art. 19, §2º, da Lei nº 14.133/2021)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Termo de Referência especificou a duração do contrato, bem como se este se caracteriza como fornecimento contínuo ou contrato por escopo?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tenha sido classificado como fornecimento contínuo, foi demonstrada a vantagem econômica para a vigência plurianual?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prévia indicação de marca para a aquisição de determinado bem foi apresentada a justificativa em uma das hipóteses do inciso I do art. 41 da Lei nº 14.133/2021, consubstanciado em estudos, laudos, perícias e pareceres técnicos?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OBS: </w:t>
            </w:r>
            <w:r>
              <w:rPr>
                <w:rFonts w:ascii="Times New Roman" w:eastAsia="Times New Roman" w:hAnsi="Times New Roman" w:cs="Times New Roman"/>
                <w:i/>
              </w:rPr>
              <w:t>“a) em decorrência da necessidade de padronização do objeto; b) em decorrência da necessidade de manter a compatibilidade com plataformas e padrões já adotados pela Administração; c) quando determinada marca ou modelo comercializados por mais de um fornecedor forem os únicos capazes de atender às necessidades do contratante; d) quando a descrição do objeto a ser licitado puder ser mais bem compreendida pela identificação de determinada marca ou determinado modelo aptos a servir apenas como referência”.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Termo de Referência especificou o tipo de garantia do produto a ser exigido?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OBS: A garantia legal está expressa no art. 26 do Código de Defesa do Consumidor, adstrita àquelas hipóteses previstas na normativa específica: 30 dias - produtos não-duráveis e 90 dias - produtos duráveis. Por sua vez, a garantia contratual, como espécie complementar à legal, é facultativa e será conferida mediante termo escrito (art. 50 do CDC).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o Termo de Referência tenha exigida a prestação de garantia de proposta (art. 58) e/ou garantia contratual (art. 96), foram apresentadas as devidas justificativas para a escolha feita?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equipe de planejamento avaliou se o objeto se enquadra como “bem comum” para fins de adoção do pregão como modalidade licitatória a ser adotada?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9.1.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opção pelo modo presencial do pregão foi devidamente justificado nos autos e incluído em sistema disponibilizado pelo FNDE?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“critério de julgamento” ficou restrito ao “menor preço” ou o “maior desconto”?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termo de referência definiu o modo de disputa “</w:t>
            </w:r>
            <w:r>
              <w:rPr>
                <w:rFonts w:ascii="Times New Roman" w:eastAsia="Times New Roman" w:hAnsi="Times New Roman" w:cs="Times New Roman"/>
                <w:i/>
              </w:rPr>
              <w:t>aberto</w:t>
            </w:r>
            <w:r>
              <w:rPr>
                <w:rFonts w:ascii="Times New Roman" w:eastAsia="Times New Roman" w:hAnsi="Times New Roman" w:cs="Times New Roman"/>
              </w:rPr>
              <w:t>”, “</w:t>
            </w:r>
            <w:r>
              <w:rPr>
                <w:rFonts w:ascii="Times New Roman" w:eastAsia="Times New Roman" w:hAnsi="Times New Roman" w:cs="Times New Roman"/>
                <w:i/>
              </w:rPr>
              <w:t>aberto-fechado</w:t>
            </w:r>
            <w:r>
              <w:rPr>
                <w:rFonts w:ascii="Times New Roman" w:eastAsia="Times New Roman" w:hAnsi="Times New Roman" w:cs="Times New Roman"/>
              </w:rPr>
              <w:t>” ou “</w:t>
            </w:r>
            <w:r>
              <w:rPr>
                <w:rFonts w:ascii="Times New Roman" w:eastAsia="Times New Roman" w:hAnsi="Times New Roman" w:cs="Times New Roman"/>
                <w:i/>
              </w:rPr>
              <w:t>fechado-aberto</w:t>
            </w:r>
            <w:r>
              <w:rPr>
                <w:rFonts w:ascii="Times New Roman" w:eastAsia="Times New Roman" w:hAnsi="Times New Roman" w:cs="Times New Roman"/>
              </w:rPr>
              <w:t>” a ser adotado no certame?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equipe de planejamento justificou a escolha do modo de disputa?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incluída alguma exigência de HABILITAÇÃO JURÍDICA distinta daquelas padronizadas na minuta do Termo de Referência?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Termo de Referência exigiu a apresentação de atestado de capacidade técnica como documento de HABILITAÇÃO TÉCNICA?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exigência de atestado de capacidade técnica foi justificada nos autos?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13.2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exigência de que trata o subitem 13 desta Lista de Verificação ficou restrita às parcelas de maior relevância ou valor significativo do objeto da licitação?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OBS: a “</w:t>
            </w:r>
            <w:r>
              <w:rPr>
                <w:rFonts w:ascii="Times New Roman" w:eastAsia="Times New Roman" w:hAnsi="Times New Roman" w:cs="Times New Roman"/>
                <w:i/>
              </w:rPr>
              <w:t>exigência de atestados será restrita às parcelas de maior relevância ou valor significativo do objeto da licitação, assim consideradas as que tenham valor individual igual ou superior a 4% (quatro por cento) do valor total estimado da contratação</w:t>
            </w:r>
            <w:r>
              <w:rPr>
                <w:rFonts w:ascii="Times New Roman" w:eastAsia="Times New Roman" w:hAnsi="Times New Roman" w:cs="Times New Roman"/>
              </w:rPr>
              <w:t>”.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13.3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especificada a quantidade mínima da parcela do objeto que deverá ser comprovada por meio de atestado de capacidade técnica, bem como foi respeitado a quantidade de até 50% da referida parcela?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exigência de comprovação da boa situação financeira do licitante, por meio coeficientes e índices econômicos, foi justificada no processo?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a equipe de planejamento tenha feito uso do art. 70, III, da Lei nº 14.133/2021 para deixar de exigir parte dos documentos de habilitação, foi apresentada as motivações pelas dispensas feitas e observado o disposto no art. 54 do Decreto 16.118/2023?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OBS: O art. 70, III, da Lei nº 14.133/2021, dispõe que as exigências de habilitação poderão ser dispensadas, “total ou parcialmente, nas contratações para entrega imediata, nas contratações em valores inferiores a 1/4 (um quarto) do limite para dispensa de licitação para compras em geral e nas contratações de produto para pesquisa e desenvolvimento até o valor de R$ 300.000,00 (trezentos mil reais)”.</w:t>
            </w:r>
          </w:p>
          <w:p w:rsidR="00397310" w:rsidRDefault="00397310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OBS: O Decreto 16.118/2023, em seu art. 54, exige que a opção pela dispensa da documentação de habilitação seja feita motivadamente, e desde que não contemple a exigência a que se refere o inciso XXXIII do caput do art. 7º  e o § 3º do art. 195  da Constituição Federal.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16.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Termo de Referência foi assinado, rubricado em todas as suas folhas e datado pela equipe de planejamento da contratação, bem como aprovado pela autoridade máxima do órgão ou entidade demandante?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em a aprovação do termo de referência pela autoridade competente tenha sido objeto de delegação para agente público hierarquicamente subordinado, conforme autorizado pelo §2º do art. 13 do Decreto nº 15.941/2022, foi juntado o ato formal devidamente publicado na impressa official?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299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PESQUISA DE PREÇO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valor estimado da contratação foi definido de acordo com o rito do art. 32 da RESOLUÇÃO/SED Nº 4.045, de 24 de maio de 2022?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Essa opção foi devidamente justificada pela autoridade competente e demonstrada a vantajosidade para a Administração em detrimento da metodologia adotada em ato normativo do FNDE?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servidor responsável pela elaboração da pesquisa de preços foi identificado por nome e CPF em sistema de prestação de contas gerido pelo FNDE?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 caso de aquisição de alimentos reunidos de forma agrupada (em lote), foi fixado  critério de aceitabilidade de preço unitário e global para cada alimento?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equipe de planejamento optou pela adoção do orçamento sigiloso?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em que tenha sido adotado o orçamento sigiloso, foram apresentadas as razões e justificativas para a escolha feita?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DOTAÇÃO ORÇAMENTÁRIA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no processo a previsão de recursos orçamentários que assegurem o pagamento das obrigações?</w:t>
            </w:r>
          </w:p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Cabe também alertar para que, caso se trate de criação ou expansão de ação governamental que acarrete aumento da despesa, seja anexada a estimativa do impacto orçamentário no exercício e nos dois subsequentes, bem como a declaração sobre a adequação orçamentária e financeira para fazer face às despesas, em conformidade com as normas constantes dos arts. 16 e 17 da LC nº 101/2000.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LICITAÇÃO EXCLUSIVA E RESERVA DE COTA PARA ME/EPP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no processo decisão analisando o tratamento diferenciado à ME e EPP? (art. 48 LC 123/2006)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licitação exclusiva ou cota reservada para ME/EPP, foi comprovada a existência de pelo menos 3 (três) fornecedores competitivos sediados local ou regionalmente e capazes de cumprir as exigências estabelecidas no instrumento convocatório?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434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EDITAL E CONTRATO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Foram adotadas as minutas padrão de edital e contrato aprovadas pela PGE/MS?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incluído/excluído/alterado algum elemento das minutas padronizadas que demanda uma análise jurídica específica?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Consta dos autos a “</w:t>
            </w:r>
            <w:r>
              <w:rPr>
                <w:rFonts w:ascii="Times New Roman" w:eastAsia="Times New Roman" w:hAnsi="Times New Roman" w:cs="Times New Roman"/>
                <w:i/>
              </w:rPr>
              <w:t>Certidão de Atendimento das Minutas de Edital e Contrato padronizados”</w:t>
            </w:r>
            <w:r>
              <w:rPr>
                <w:rFonts w:ascii="Times New Roman" w:eastAsia="Times New Roman" w:hAnsi="Times New Roman" w:cs="Times New Roman"/>
              </w:rPr>
              <w:t>, que atesta que o conteúdo do Edital e Contrato seguiu a versão mais atualizada pela PGE/MS?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certidão informou se foi incluído/excluído/alterado algum elemento da minuta padronizada que demanda análise jurídica?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</w:t>
            </w:r>
          </w:p>
        </w:tc>
        <w:tc>
          <w:tcPr>
            <w:tcW w:w="7461" w:type="dxa"/>
          </w:tcPr>
          <w:p w:rsidR="00397310" w:rsidRDefault="00483A09" w:rsidP="00283F4A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necessidade de análise jurídica de que trata o subitem 3.1 desta lista de verificação já está abrangida pelas recomendações contidas no Parecer Referencial PGE/MS/CJUR-SEL nº 0</w:t>
            </w:r>
            <w:r w:rsidR="00283F4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/2023?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97310">
        <w:trPr>
          <w:trHeight w:val="434"/>
        </w:trPr>
        <w:tc>
          <w:tcPr>
            <w:tcW w:w="760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461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ENCERRAMENTO DA FASE PREPARATÓRIA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397310" w:rsidRDefault="00483A09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“S”, “N”, “N.A.”</w:t>
            </w:r>
          </w:p>
        </w:tc>
        <w:tc>
          <w:tcPr>
            <w:tcW w:w="835" w:type="dxa"/>
            <w:shd w:val="clear" w:color="auto" w:fill="808080"/>
            <w:vAlign w:val="center"/>
          </w:tcPr>
          <w:p w:rsidR="00397310" w:rsidRDefault="00483A09">
            <w:pPr>
              <w:ind w:left="44" w:right="3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</w:tr>
      <w:tr w:rsidR="00397310">
        <w:trPr>
          <w:trHeight w:val="302"/>
        </w:trPr>
        <w:tc>
          <w:tcPr>
            <w:tcW w:w="760" w:type="dxa"/>
            <w:vAlign w:val="center"/>
          </w:tcPr>
          <w:p w:rsidR="00397310" w:rsidRDefault="00483A09">
            <w:pPr>
              <w:ind w:lef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461" w:type="dxa"/>
          </w:tcPr>
          <w:p w:rsidR="00397310" w:rsidRDefault="00483A09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agente de contratação da fase interna certificou o encerramento da fase preparatória? (caput do art. 12 do Decreto nº 15.941/2022)</w:t>
            </w:r>
          </w:p>
        </w:tc>
        <w:tc>
          <w:tcPr>
            <w:tcW w:w="1418" w:type="dxa"/>
          </w:tcPr>
          <w:p w:rsidR="00397310" w:rsidRDefault="003973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5" w:type="dxa"/>
          </w:tcPr>
          <w:p w:rsidR="00397310" w:rsidRDefault="0039731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7310" w:rsidRPr="00283F4A" w:rsidRDefault="00397310" w:rsidP="00283F4A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  <w:bookmarkStart w:id="1" w:name="_heading=h.2s8eyo1" w:colFirst="0" w:colLast="0"/>
      <w:bookmarkEnd w:id="1"/>
    </w:p>
    <w:sectPr w:rsidR="00397310" w:rsidRPr="00283F4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09" w:rsidRDefault="00483A09">
      <w:pPr>
        <w:spacing w:after="0" w:line="240" w:lineRule="auto"/>
      </w:pPr>
      <w:r>
        <w:separator/>
      </w:r>
    </w:p>
  </w:endnote>
  <w:endnote w:type="continuationSeparator" w:id="0">
    <w:p w:rsidR="00483A09" w:rsidRDefault="0048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10" w:rsidRDefault="00483A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7731">
      <w:rPr>
        <w:noProof/>
        <w:color w:val="000000"/>
      </w:rPr>
      <w:t>6</w:t>
    </w:r>
    <w:r>
      <w:rPr>
        <w:color w:val="000000"/>
      </w:rPr>
      <w:fldChar w:fldCharType="end"/>
    </w:r>
  </w:p>
  <w:p w:rsidR="00397310" w:rsidRDefault="00483A09">
    <w:pPr>
      <w:pBdr>
        <w:top w:val="single" w:sz="4" w:space="0" w:color="000000"/>
      </w:pBdr>
      <w:tabs>
        <w:tab w:val="left" w:pos="709"/>
      </w:tabs>
      <w:spacing w:after="0" w:line="240" w:lineRule="auto"/>
      <w:ind w:right="360"/>
      <w:jc w:val="center"/>
      <w:rPr>
        <w:sz w:val="16"/>
        <w:szCs w:val="16"/>
      </w:rPr>
    </w:pPr>
    <w:r>
      <w:rPr>
        <w:sz w:val="16"/>
        <w:szCs w:val="16"/>
      </w:rPr>
      <w:t>Av. Des. José Nunes da Cunha, Bloco IV, Parque dos Poderes, Campo Grande/MS, CEP 79.031-310</w:t>
    </w:r>
  </w:p>
  <w:p w:rsidR="00397310" w:rsidRDefault="00D077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hyperlink r:id="rId1">
      <w:r w:rsidR="00483A09">
        <w:rPr>
          <w:color w:val="0000FF"/>
          <w:sz w:val="16"/>
          <w:szCs w:val="16"/>
          <w:u w:val="single"/>
        </w:rPr>
        <w:t>www.pge.ms.gov.br</w:t>
      </w:r>
    </w:hyperlink>
    <w:r w:rsidR="00483A09">
      <w:rPr>
        <w:color w:val="000000"/>
        <w:sz w:val="16"/>
        <w:szCs w:val="16"/>
      </w:rPr>
      <w:tab/>
      <w:t>(67) 3318-2661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09" w:rsidRDefault="00483A09">
      <w:pPr>
        <w:spacing w:after="0" w:line="240" w:lineRule="auto"/>
      </w:pPr>
      <w:r>
        <w:separator/>
      </w:r>
    </w:p>
  </w:footnote>
  <w:footnote w:type="continuationSeparator" w:id="0">
    <w:p w:rsidR="00483A09" w:rsidRDefault="0048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10" w:rsidRDefault="0039731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a2"/>
      <w:tblW w:w="5670" w:type="dxa"/>
      <w:tblInd w:w="0" w:type="dxa"/>
      <w:tblBorders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52"/>
      <w:gridCol w:w="3118"/>
    </w:tblGrid>
    <w:tr w:rsidR="00397310">
      <w:tc>
        <w:tcPr>
          <w:tcW w:w="2552" w:type="dxa"/>
          <w:tcBorders>
            <w:top w:val="nil"/>
            <w:left w:val="nil"/>
            <w:bottom w:val="nil"/>
            <w:right w:val="single" w:sz="4" w:space="0" w:color="000000"/>
          </w:tcBorders>
        </w:tcPr>
        <w:p w:rsidR="00397310" w:rsidRDefault="00483A09">
          <w:pPr>
            <w:tabs>
              <w:tab w:val="center" w:pos="4419"/>
              <w:tab w:val="right" w:pos="8838"/>
            </w:tabs>
            <w:spacing w:after="0" w:line="240" w:lineRule="auto"/>
            <w:ind w:left="-249"/>
            <w:jc w:val="center"/>
            <w:rPr>
              <w:rFonts w:ascii="Bookman Old Style" w:eastAsia="Bookman Old Style" w:hAnsi="Bookman Old Style" w:cs="Bookman Old Style"/>
              <w:b/>
              <w:sz w:val="26"/>
              <w:szCs w:val="26"/>
            </w:rPr>
          </w:pPr>
          <w:r>
            <w:rPr>
              <w:rFonts w:ascii="Bookman Old Style" w:eastAsia="Bookman Old Style" w:hAnsi="Bookman Old Style" w:cs="Bookman Old Style"/>
              <w:b/>
              <w:noProof/>
              <w:sz w:val="26"/>
              <w:szCs w:val="26"/>
            </w:rPr>
            <w:drawing>
              <wp:inline distT="0" distB="0" distL="0" distR="0">
                <wp:extent cx="1433015" cy="561975"/>
                <wp:effectExtent l="0" t="0" r="0" b="0"/>
                <wp:docPr id="2" name="image1.jpg" descr="monocromia_positivo_horizont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monocromia_positivo_horizonta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015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single" w:sz="4" w:space="0" w:color="000000"/>
            <w:bottom w:val="nil"/>
            <w:right w:val="nil"/>
          </w:tcBorders>
        </w:tcPr>
        <w:p w:rsidR="00397310" w:rsidRDefault="00483A09">
          <w:pPr>
            <w:spacing w:after="0" w:line="240" w:lineRule="auto"/>
            <w:jc w:val="both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CJUR-SEL</w:t>
          </w:r>
        </w:p>
        <w:p w:rsidR="00397310" w:rsidRDefault="00483A0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b/>
              <w:sz w:val="18"/>
              <w:szCs w:val="18"/>
            </w:rPr>
            <w:t>Coordenadoria Jurídica da Procuradoria-Geral do Estado na Secretaria-Executiva de Licitação</w:t>
          </w:r>
        </w:p>
      </w:tc>
    </w:tr>
  </w:tbl>
  <w:p w:rsidR="00397310" w:rsidRDefault="00483A09">
    <w:pPr>
      <w:pBdr>
        <w:bottom w:val="single" w:sz="4" w:space="1" w:color="000000"/>
      </w:pBdr>
      <w:tabs>
        <w:tab w:val="center" w:pos="4419"/>
        <w:tab w:val="center" w:pos="4536"/>
        <w:tab w:val="left" w:pos="6960"/>
        <w:tab w:val="right" w:pos="8838"/>
      </w:tabs>
      <w:spacing w:before="60" w:after="0" w:line="240" w:lineRule="auto"/>
      <w:jc w:val="both"/>
      <w:rPr>
        <w:rFonts w:ascii="Bookman Old Style" w:eastAsia="Bookman Old Style" w:hAnsi="Bookman Old Style" w:cs="Bookman Old Style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3784600</wp:posOffset>
              </wp:positionH>
              <wp:positionV relativeFrom="paragraph">
                <wp:posOffset>-571499</wp:posOffset>
              </wp:positionV>
              <wp:extent cx="2192655" cy="69596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54435" y="3436783"/>
                        <a:ext cx="218313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97310" w:rsidRDefault="00483A09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Proc. Administrativo n. 15/003.514/2022 F.</w:t>
                          </w:r>
                        </w:p>
                        <w:p w:rsidR="00397310" w:rsidRDefault="00EB2FEB">
                          <w:pPr>
                            <w:spacing w:line="36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Data: 19</w:t>
                          </w:r>
                          <w:r w:rsidR="00483A09">
                            <w:rPr>
                              <w:b/>
                              <w:color w:val="000000"/>
                              <w:sz w:val="16"/>
                            </w:rPr>
                            <w:t xml:space="preserve">/12/2023   Rubrica: </w:t>
                          </w:r>
                        </w:p>
                      </w:txbxContent>
                    </wps:txbx>
                    <wps:bodyPr spcFirstLastPara="1" wrap="square" lIns="91425" tIns="1080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left:0;text-align:left;margin-left:298pt;margin-top:-45pt;width:172.65pt;height:5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">
              <v:stroke startarrowwidth="narrow" startarrowlength="short" endarrowwidth="narrow" endarrowlength="short"/>
              <v:textbox inset="2.53958mm,3mm,2.53958mm,1.2694mm">
                <w:txbxContent>
                  <w:p w14:paraId="5890C0EA" w14:textId="77777777" w:rsidR="00397310" w:rsidRDefault="00483A09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Proc. Administrativo n. 15/003.514/2022 F.</w:t>
                    </w:r>
                  </w:p>
                  <w:p w14:paraId="4445C8F8" w14:textId="170B3DC4" w:rsidR="00397310" w:rsidRDefault="00EB2FEB">
                    <w:pPr>
                      <w:spacing w:line="360" w:lineRule="auto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Data: 19</w:t>
                    </w:r>
                    <w:r w:rsidR="00483A09">
                      <w:rPr>
                        <w:b/>
                        <w:color w:val="000000"/>
                        <w:sz w:val="16"/>
                      </w:rPr>
                      <w:t xml:space="preserve">/12/2023   Rubrica: </w:t>
                    </w:r>
                  </w:p>
                </w:txbxContent>
              </v:textbox>
            </v:rect>
          </w:pict>
        </mc:Fallback>
      </mc:AlternateContent>
    </w:r>
  </w:p>
  <w:p w:rsidR="00397310" w:rsidRDefault="003973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F03"/>
    <w:multiLevelType w:val="multilevel"/>
    <w:tmpl w:val="24ECCB7C"/>
    <w:lvl w:ilvl="0">
      <w:start w:val="1"/>
      <w:numFmt w:val="lowerLetter"/>
      <w:lvlText w:val="%1)"/>
      <w:lvlJc w:val="left"/>
      <w:pPr>
        <w:ind w:left="-272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50290460"/>
    <w:multiLevelType w:val="multilevel"/>
    <w:tmpl w:val="FC62D1BC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48F7DC8"/>
    <w:multiLevelType w:val="multilevel"/>
    <w:tmpl w:val="4F0049C0"/>
    <w:lvl w:ilvl="0">
      <w:start w:val="1"/>
      <w:numFmt w:val="bullet"/>
      <w:lvlText w:val="✔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E7371C"/>
    <w:multiLevelType w:val="multilevel"/>
    <w:tmpl w:val="C010C520"/>
    <w:lvl w:ilvl="0">
      <w:start w:val="1"/>
      <w:numFmt w:val="bullet"/>
      <w:lvlText w:val="✔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5A559B"/>
    <w:multiLevelType w:val="multilevel"/>
    <w:tmpl w:val="A14EC9BC"/>
    <w:lvl w:ilvl="0">
      <w:start w:val="1"/>
      <w:numFmt w:val="bullet"/>
      <w:lvlText w:val="✔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10"/>
    <w:rsid w:val="00232465"/>
    <w:rsid w:val="00283F4A"/>
    <w:rsid w:val="00397310"/>
    <w:rsid w:val="003C2597"/>
    <w:rsid w:val="00483A09"/>
    <w:rsid w:val="00605C91"/>
    <w:rsid w:val="00AC3285"/>
    <w:rsid w:val="00B53A22"/>
    <w:rsid w:val="00D07731"/>
    <w:rsid w:val="00E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172A80"/>
  <w15:docId w15:val="{A0AEEC2E-31DB-4143-AB08-5FE81D1F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B2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FEB"/>
  </w:style>
  <w:style w:type="paragraph" w:styleId="Rodap">
    <w:name w:val="footer"/>
    <w:basedOn w:val="Normal"/>
    <w:link w:val="RodapChar"/>
    <w:uiPriority w:val="99"/>
    <w:unhideWhenUsed/>
    <w:rsid w:val="00EB2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FEB"/>
  </w:style>
  <w:style w:type="paragraph" w:styleId="Textodebalo">
    <w:name w:val="Balloon Text"/>
    <w:basedOn w:val="Normal"/>
    <w:link w:val="TextodebaloChar"/>
    <w:uiPriority w:val="99"/>
    <w:semiHidden/>
    <w:unhideWhenUsed/>
    <w:rsid w:val="00EB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uGAJsGYzuWdVUlDSWiIyoujFA==">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2822</Words>
  <Characters>15241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Karoline Rosa do Amaral</dc:creator>
  <cp:lastModifiedBy>Jordana Pereira Lopes Goulart</cp:lastModifiedBy>
  <cp:revision>4</cp:revision>
  <dcterms:created xsi:type="dcterms:W3CDTF">2023-12-19T19:36:00Z</dcterms:created>
  <dcterms:modified xsi:type="dcterms:W3CDTF">2024-01-16T18:29:00Z</dcterms:modified>
</cp:coreProperties>
</file>