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7E" w:rsidRPr="00482A50" w:rsidRDefault="008A557E" w:rsidP="008A557E">
      <w:pPr>
        <w:spacing w:line="360" w:lineRule="auto"/>
        <w:jc w:val="center"/>
        <w:rPr>
          <w:b/>
          <w:bCs/>
        </w:rPr>
      </w:pPr>
      <w:r w:rsidRPr="00482A50">
        <w:rPr>
          <w:b/>
          <w:bCs/>
        </w:rPr>
        <w:t>PARECER REFERENCIAL PGE/MS/CJUR-SEJUSP/Nº 001/202</w:t>
      </w:r>
      <w:r>
        <w:rPr>
          <w:b/>
          <w:bCs/>
        </w:rPr>
        <w:t>1</w:t>
      </w:r>
    </w:p>
    <w:p w:rsidR="008A557E" w:rsidRPr="00482A50" w:rsidRDefault="008A557E" w:rsidP="008A557E">
      <w:pPr>
        <w:spacing w:line="360" w:lineRule="auto"/>
        <w:jc w:val="center"/>
        <w:rPr>
          <w:b/>
          <w:bCs/>
        </w:rPr>
      </w:pPr>
    </w:p>
    <w:p w:rsidR="008A557E" w:rsidRPr="00482A50" w:rsidRDefault="008A557E" w:rsidP="008A557E">
      <w:pPr>
        <w:spacing w:line="360" w:lineRule="auto"/>
        <w:jc w:val="center"/>
        <w:rPr>
          <w:b/>
          <w:bCs/>
        </w:rPr>
      </w:pPr>
      <w:r w:rsidRPr="00482A50">
        <w:rPr>
          <w:b/>
          <w:bCs/>
        </w:rPr>
        <w:t>ANEXO I</w:t>
      </w:r>
    </w:p>
    <w:p w:rsidR="008A557E" w:rsidRPr="00482A50" w:rsidRDefault="008A557E" w:rsidP="008A557E">
      <w:pPr>
        <w:spacing w:line="360" w:lineRule="auto"/>
        <w:jc w:val="center"/>
        <w:rPr>
          <w:b/>
          <w:bCs/>
        </w:rPr>
      </w:pPr>
      <w:bookmarkStart w:id="0" w:name="_GoBack"/>
      <w:bookmarkEnd w:id="0"/>
    </w:p>
    <w:p w:rsidR="008A557E" w:rsidRPr="00482A50" w:rsidRDefault="008A557E" w:rsidP="008A557E">
      <w:pPr>
        <w:spacing w:line="360" w:lineRule="auto"/>
        <w:jc w:val="center"/>
        <w:rPr>
          <w:b/>
          <w:bCs/>
        </w:rPr>
      </w:pPr>
      <w:r w:rsidRPr="00482A50">
        <w:rPr>
          <w:b/>
          <w:bCs/>
        </w:rPr>
        <w:t>MIGRAÇÃO DO REGIME REMUNERATÓRIO DA TABELA I PARA A TABELA II DO ANEXO I DA LEI COMPLEMENTAR Nº 127/2008</w:t>
      </w:r>
    </w:p>
    <w:p w:rsidR="008A557E" w:rsidRPr="00482A50" w:rsidRDefault="008A557E" w:rsidP="008A557E">
      <w:pPr>
        <w:spacing w:line="360" w:lineRule="auto"/>
        <w:jc w:val="center"/>
        <w:rPr>
          <w:b/>
          <w:bCs/>
        </w:rPr>
      </w:pPr>
    </w:p>
    <w:p w:rsidR="008A557E" w:rsidRPr="00482A50" w:rsidRDefault="008A557E" w:rsidP="008A557E">
      <w:pPr>
        <w:spacing w:line="360" w:lineRule="auto"/>
        <w:jc w:val="center"/>
      </w:pPr>
      <w:r w:rsidRPr="00482A50">
        <w:rPr>
          <w:b/>
          <w:bCs/>
        </w:rPr>
        <w:t>LISTA DE VERIFICAÇÃO</w:t>
      </w:r>
    </w:p>
    <w:p w:rsidR="008A557E" w:rsidRPr="00482A50" w:rsidRDefault="008A557E" w:rsidP="008A557E">
      <w:pPr>
        <w:spacing w:line="360" w:lineRule="auto"/>
      </w:pPr>
    </w:p>
    <w:p w:rsidR="008A557E" w:rsidRPr="00482A50" w:rsidRDefault="008A557E" w:rsidP="008A557E">
      <w:pPr>
        <w:spacing w:line="360" w:lineRule="auto"/>
      </w:pPr>
      <w:r w:rsidRPr="00482A50">
        <w:t>São os seguintes os requisitos previstos na Lei Complementar nº 127/2008 que deverão ser atendidos e instruir o processo administrativo de migração do regime remuneratório da Tabela I para a Tabela II:</w:t>
      </w:r>
    </w:p>
    <w:p w:rsidR="008A557E" w:rsidRPr="00482A50" w:rsidRDefault="008A557E" w:rsidP="008A557E">
      <w:pPr>
        <w:jc w:val="both"/>
        <w:rPr>
          <w:b/>
        </w:rPr>
      </w:pPr>
    </w:p>
    <w:tbl>
      <w:tblPr>
        <w:tblW w:w="8839" w:type="dxa"/>
        <w:tblCellSpacing w:w="0" w:type="dxa"/>
        <w:tblBorders>
          <w:top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8"/>
        <w:gridCol w:w="380"/>
        <w:gridCol w:w="8"/>
        <w:gridCol w:w="38"/>
        <w:gridCol w:w="6593"/>
        <w:gridCol w:w="38"/>
        <w:gridCol w:w="433"/>
        <w:gridCol w:w="38"/>
        <w:gridCol w:w="529"/>
        <w:gridCol w:w="30"/>
        <w:gridCol w:w="38"/>
        <w:gridCol w:w="638"/>
        <w:gridCol w:w="38"/>
      </w:tblGrid>
      <w:tr w:rsidR="008A557E" w:rsidRPr="00482A50" w:rsidTr="00E77C6A">
        <w:trPr>
          <w:gridAfter w:val="1"/>
          <w:wAfter w:w="38" w:type="dxa"/>
          <w:trHeight w:val="251"/>
          <w:tblCellSpacing w:w="0" w:type="dxa"/>
        </w:trPr>
        <w:tc>
          <w:tcPr>
            <w:tcW w:w="8801" w:type="dxa"/>
            <w:gridSpan w:val="1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jc w:val="center"/>
              <w:rPr>
                <w:rFonts w:cs="Arial"/>
              </w:rPr>
            </w:pPr>
            <w:r w:rsidRPr="00482A50">
              <w:rPr>
                <w:rFonts w:cs="Arial"/>
                <w:b/>
                <w:bCs/>
                <w:sz w:val="20"/>
              </w:rPr>
              <w:t xml:space="preserve">ATOS ADMINISTRATIVOS E DOCUMENTOS A SEREM VERIFICADOS </w:t>
            </w:r>
          </w:p>
        </w:tc>
      </w:tr>
      <w:tr w:rsidR="008A557E" w:rsidRPr="00482A50" w:rsidTr="00E77C6A">
        <w:trPr>
          <w:gridAfter w:val="1"/>
          <w:wAfter w:w="38" w:type="dxa"/>
          <w:trHeight w:val="315"/>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jc w:val="center"/>
              <w:rPr>
                <w:rFonts w:cs="Arial"/>
                <w:b/>
                <w:sz w:val="20"/>
              </w:rPr>
            </w:pPr>
            <w:r w:rsidRPr="00482A50">
              <w:rPr>
                <w:rFonts w:cs="Arial"/>
                <w:b/>
                <w:sz w:val="20"/>
              </w:rPr>
              <w:t>Perguntas</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rPr>
                <w:rFonts w:cs="Arial"/>
              </w:rPr>
            </w:pPr>
            <w:r w:rsidRPr="00482A50">
              <w:rPr>
                <w:rFonts w:cs="Arial"/>
                <w:b/>
                <w:bCs/>
                <w:sz w:val="16"/>
              </w:rPr>
              <w:t xml:space="preserve">Sim / Não </w:t>
            </w:r>
          </w:p>
        </w:tc>
        <w:tc>
          <w:tcPr>
            <w:tcW w:w="567"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jc w:val="center"/>
              <w:rPr>
                <w:rFonts w:cs="Arial"/>
              </w:rPr>
            </w:pPr>
            <w:r w:rsidRPr="00482A50">
              <w:rPr>
                <w:rFonts w:cs="Arial"/>
                <w:b/>
                <w:bCs/>
                <w:sz w:val="16"/>
              </w:rPr>
              <w:t>Folha</w:t>
            </w:r>
          </w:p>
        </w:tc>
        <w:tc>
          <w:tcPr>
            <w:tcW w:w="70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jc w:val="center"/>
              <w:rPr>
                <w:rFonts w:cs="Arial"/>
              </w:rPr>
            </w:pPr>
            <w:r w:rsidRPr="00482A50">
              <w:rPr>
                <w:rFonts w:cs="Arial"/>
                <w:b/>
                <w:bCs/>
                <w:sz w:val="16"/>
              </w:rPr>
              <w:t>Obs.</w:t>
            </w:r>
          </w:p>
        </w:tc>
      </w:tr>
      <w:tr w:rsidR="008A557E" w:rsidRPr="00482A50" w:rsidTr="00E77C6A">
        <w:trPr>
          <w:gridAfter w:val="1"/>
          <w:wAfter w:w="38" w:type="dxa"/>
          <w:trHeight w:val="307"/>
          <w:tblCellSpacing w:w="0" w:type="dxa"/>
        </w:trPr>
        <w:tc>
          <w:tcPr>
            <w:tcW w:w="8801" w:type="dxa"/>
            <w:gridSpan w:val="1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jc w:val="both"/>
              <w:rPr>
                <w:rFonts w:cs="Arial"/>
                <w:b/>
                <w:sz w:val="20"/>
              </w:rPr>
            </w:pPr>
            <w:r w:rsidRPr="00482A50">
              <w:rPr>
                <w:rFonts w:cs="Arial"/>
                <w:b/>
                <w:sz w:val="20"/>
              </w:rPr>
              <w:t>Formalização do Processo</w:t>
            </w:r>
          </w:p>
        </w:tc>
      </w:tr>
      <w:tr w:rsidR="008A557E" w:rsidRPr="00482A50" w:rsidTr="00E77C6A">
        <w:trPr>
          <w:gridAfter w:val="1"/>
          <w:wAfter w:w="38" w:type="dxa"/>
          <w:trHeight w:val="461"/>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b/>
                <w:sz w:val="20"/>
              </w:rPr>
            </w:pPr>
            <w:r w:rsidRPr="00482A50">
              <w:rPr>
                <w:rFonts w:cs="Arial"/>
                <w:b/>
                <w:sz w:val="20"/>
              </w:rPr>
              <w:t>1.</w:t>
            </w:r>
            <w:r w:rsidRPr="00482A50">
              <w:rPr>
                <w:rFonts w:cs="Arial"/>
                <w:sz w:val="20"/>
              </w:rPr>
              <w:t xml:space="preserve"> Houve abertura de processo administrativo devidamente autuado, protocolado e numerado?</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jc w:val="both"/>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After w:val="1"/>
          <w:wAfter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b/>
                <w:sz w:val="20"/>
              </w:rPr>
              <w:t>2.</w:t>
            </w:r>
            <w:r w:rsidRPr="00482A50">
              <w:rPr>
                <w:rFonts w:cs="Arial"/>
                <w:sz w:val="20"/>
              </w:rPr>
              <w:t xml:space="preserve"> Consta o requerimento de migração do regime remuneratório da Tabela I para a Tabela II do Anexo I da Lei Complementar nº 127/2008 direcionado ao Comandante Geral da Corporação do interessado (art. 27-A da LC nº 127/2008)?</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jc w:val="both"/>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After w:val="1"/>
          <w:wAfter w:w="38" w:type="dxa"/>
          <w:trHeight w:val="426"/>
          <w:tblCellSpacing w:w="0" w:type="dxa"/>
        </w:trPr>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96"/>
              <w:jc w:val="both"/>
              <w:rPr>
                <w:rFonts w:cs="Arial"/>
                <w:sz w:val="18"/>
                <w:szCs w:val="18"/>
              </w:rPr>
            </w:pPr>
            <w:r w:rsidRPr="00482A50">
              <w:rPr>
                <w:rFonts w:cs="Arial"/>
                <w:sz w:val="18"/>
                <w:szCs w:val="18"/>
              </w:rPr>
              <w:t>2.1</w:t>
            </w:r>
          </w:p>
        </w:tc>
        <w:tc>
          <w:tcPr>
            <w:tcW w:w="663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sz w:val="20"/>
              </w:rPr>
              <w:t>O requerente renuncia a eventual direito relacionado à diferença remuneratória entre as Tabelas I e II do Anexo I da Lei Complementar nº 127/2008 (art. 28, I, da LC nº 127/2008)?</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jc w:val="both"/>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After w:val="1"/>
          <w:wAfter w:w="38" w:type="dxa"/>
          <w:trHeight w:val="426"/>
          <w:tblCellSpacing w:w="0" w:type="dxa"/>
        </w:trPr>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96"/>
              <w:jc w:val="both"/>
              <w:rPr>
                <w:rFonts w:cs="Arial"/>
                <w:sz w:val="18"/>
                <w:szCs w:val="18"/>
              </w:rPr>
            </w:pPr>
            <w:r w:rsidRPr="00482A50">
              <w:rPr>
                <w:rFonts w:cs="Arial"/>
                <w:sz w:val="18"/>
                <w:szCs w:val="18"/>
              </w:rPr>
              <w:t xml:space="preserve">2.2. </w:t>
            </w:r>
          </w:p>
        </w:tc>
        <w:tc>
          <w:tcPr>
            <w:tcW w:w="663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sz w:val="20"/>
              </w:rPr>
              <w:t>O requerente renuncia a todo e qualquer reflexo financeiro pretérito relacionado à diferença remuneratória entre as Tabelas I e II do Anexo I da Lei Complementar nº 127/2008 (art. 28, II, da LC nº 127/2008)?</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jc w:val="both"/>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After w:val="1"/>
          <w:wAfter w:w="38" w:type="dxa"/>
          <w:trHeight w:val="335"/>
          <w:tblCellSpacing w:w="0" w:type="dxa"/>
        </w:trPr>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96"/>
              <w:jc w:val="both"/>
              <w:rPr>
                <w:rFonts w:cs="Arial"/>
                <w:sz w:val="18"/>
                <w:szCs w:val="18"/>
              </w:rPr>
            </w:pPr>
            <w:r w:rsidRPr="00482A50">
              <w:rPr>
                <w:rFonts w:cs="Arial"/>
                <w:sz w:val="18"/>
                <w:szCs w:val="18"/>
              </w:rPr>
              <w:t>2.3.</w:t>
            </w:r>
          </w:p>
        </w:tc>
        <w:tc>
          <w:tcPr>
            <w:tcW w:w="663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sz w:val="20"/>
              </w:rPr>
              <w:t>O requerente declara estar ciente de que a sua atual remuneração tem como base os valores constantes da Tabela I do Anexo I da Lei Complementar nº 127/2008 (art. 28, III, da LC nº 127/2008)?</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jc w:val="both"/>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After w:val="1"/>
          <w:wAfter w:w="38" w:type="dxa"/>
          <w:trHeight w:val="539"/>
          <w:tblCellSpacing w:w="0" w:type="dxa"/>
        </w:trPr>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96"/>
              <w:jc w:val="both"/>
              <w:rPr>
                <w:rFonts w:cs="Arial"/>
                <w:sz w:val="18"/>
                <w:szCs w:val="18"/>
              </w:rPr>
            </w:pPr>
            <w:r w:rsidRPr="00482A50">
              <w:rPr>
                <w:rFonts w:cs="Arial"/>
                <w:sz w:val="18"/>
                <w:szCs w:val="18"/>
              </w:rPr>
              <w:t>2.4.</w:t>
            </w:r>
          </w:p>
        </w:tc>
        <w:tc>
          <w:tcPr>
            <w:tcW w:w="663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sz w:val="20"/>
              </w:rPr>
              <w:t>O requerente declara estar ciente de que, após a homologação da migração do regime remuneratório, seu subsídio passará a ser o estabelecido na Tabela II do Anexo I da Lei Complementar nº 127/2008 (art. 28, IV, da LC nº 127/2008)?</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jc w:val="both"/>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After w:val="1"/>
          <w:wAfter w:w="38" w:type="dxa"/>
          <w:trHeight w:val="539"/>
          <w:tblCellSpacing w:w="0" w:type="dxa"/>
        </w:trPr>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96"/>
              <w:jc w:val="both"/>
              <w:rPr>
                <w:rFonts w:cs="Arial"/>
                <w:sz w:val="18"/>
                <w:szCs w:val="18"/>
              </w:rPr>
            </w:pPr>
            <w:r w:rsidRPr="00482A50">
              <w:rPr>
                <w:rFonts w:cs="Arial"/>
                <w:sz w:val="18"/>
                <w:szCs w:val="18"/>
              </w:rPr>
              <w:t>2.5.</w:t>
            </w:r>
          </w:p>
        </w:tc>
        <w:tc>
          <w:tcPr>
            <w:tcW w:w="663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sz w:val="20"/>
              </w:rPr>
              <w:t>O requerente assume o pagamento de todas as despesas processuais e os honorários advocatícios decorrentes da ação judicial que tenha por objeto a diferença remuneratória entre as Tabelas I e II do Anexo I da Lei Complementar nº 127/2008 (art. 28, V, da LC nº 127/2008)?</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jc w:val="both"/>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After w:val="1"/>
          <w:wAfter w:w="38" w:type="dxa"/>
          <w:trHeight w:val="654"/>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b/>
                <w:sz w:val="20"/>
              </w:rPr>
              <w:t>3.</w:t>
            </w:r>
            <w:r w:rsidRPr="00482A50">
              <w:rPr>
                <w:rFonts w:cs="Arial"/>
                <w:sz w:val="20"/>
              </w:rPr>
              <w:t xml:space="preserve"> Consta do processo administrativo estimativa do impacto orçamentário-financeiro que a concessão da migração do regime remuneratório da Tabela I para a Tabela II do Anexo I da Lei Complementar nº 127/2008 causará no exercício em que entrará em vigor e nos dois subsequentes (art. 27-A, § 2º,  I, da LC nº 127/2008 c/c art. 16, I,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jc w:val="both"/>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426"/>
          <w:tblCellSpacing w:w="0" w:type="dxa"/>
        </w:trPr>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96"/>
              <w:jc w:val="both"/>
              <w:rPr>
                <w:rFonts w:cs="Arial"/>
                <w:sz w:val="18"/>
                <w:szCs w:val="18"/>
              </w:rPr>
            </w:pPr>
            <w:r w:rsidRPr="00482A50">
              <w:rPr>
                <w:rFonts w:cs="Arial"/>
                <w:sz w:val="18"/>
                <w:szCs w:val="18"/>
              </w:rPr>
              <w:lastRenderedPageBreak/>
              <w:t>3.1</w:t>
            </w:r>
          </w:p>
        </w:tc>
        <w:tc>
          <w:tcPr>
            <w:tcW w:w="663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156"/>
              <w:jc w:val="both"/>
              <w:rPr>
                <w:rFonts w:cs="Arial"/>
                <w:sz w:val="20"/>
              </w:rPr>
            </w:pPr>
            <w:r w:rsidRPr="00482A50">
              <w:rPr>
                <w:rFonts w:cs="Arial"/>
                <w:sz w:val="20"/>
              </w:rPr>
              <w:t>A estimativa orçamentário-financeira está acompanhado de comprovação de que a despesa criada ou aumentada não afetará os resultados fiscais previstos no Anexo de Metas Fiscais que integra a Lei de Diretrizes Orçamentárias (art. 27-A, § 2º,  I, da LC nº 127/2008 c/c art. 17, § 2º,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426"/>
          <w:tblCellSpacing w:w="0" w:type="dxa"/>
        </w:trPr>
        <w:tc>
          <w:tcPr>
            <w:tcW w:w="426"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96"/>
              <w:jc w:val="both"/>
              <w:rPr>
                <w:rFonts w:cs="Arial"/>
                <w:sz w:val="18"/>
                <w:szCs w:val="18"/>
              </w:rPr>
            </w:pPr>
            <w:r w:rsidRPr="00482A50">
              <w:rPr>
                <w:rFonts w:cs="Arial"/>
                <w:sz w:val="18"/>
                <w:szCs w:val="18"/>
              </w:rPr>
              <w:t>3.2</w:t>
            </w:r>
          </w:p>
        </w:tc>
        <w:tc>
          <w:tcPr>
            <w:tcW w:w="663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sz w:val="20"/>
              </w:rPr>
              <w:t>A estimativa orçamentário-financeira e a comprovação de que a despesa criada ou aumentada não afetará os resultados fiscais previstos no Anexo de Metas Fiscais estão acompanhadas das premissas e metodologias de cálculo utilizadas (art. 27-A, § 2º, I, da LC nº 127/2008 c/c art. 16, § 2º, e art. 17, § 4º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b/>
                <w:sz w:val="20"/>
              </w:rPr>
              <w:t>4.</w:t>
            </w:r>
            <w:r w:rsidRPr="00482A50">
              <w:rPr>
                <w:rFonts w:cs="Arial"/>
                <w:sz w:val="20"/>
              </w:rPr>
              <w:t xml:space="preserve"> Consta declaração do Secretário de Justiça e Segurança Pública de que a migração do regime remuneratório da Tabela I para a Tabela II do Anexo I da Lei Complementar nº 127/2008 tem adequação orçamentária e financeira com a lei orçamentária anual e compatibilidade com o plano plurianual e com a lei de diretrizes orçamentárias (art. 27-A, § 2º, I, da LC nº 127/2008 c/c art. 16, II,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b/>
                <w:sz w:val="20"/>
              </w:rPr>
              <w:t>5.</w:t>
            </w:r>
            <w:r w:rsidRPr="00482A50">
              <w:rPr>
                <w:rFonts w:cs="Arial"/>
                <w:sz w:val="20"/>
              </w:rPr>
              <w:t xml:space="preserve"> Consta a demonstração da origem dos recursos para o custeio da implementação da migração do regime remuneratório da Tabela I para a Tabela II do Anexo I da Lei Complementar nº 127/2008 (art. 27-A, § 2º, I, da LC nº 127/2008 c/</w:t>
            </w:r>
            <w:proofErr w:type="gramStart"/>
            <w:r w:rsidRPr="00482A50">
              <w:rPr>
                <w:rFonts w:cs="Arial"/>
                <w:sz w:val="20"/>
              </w:rPr>
              <w:t>c</w:t>
            </w:r>
            <w:proofErr w:type="gramEnd"/>
            <w:r w:rsidRPr="00482A50">
              <w:rPr>
                <w:rFonts w:cs="Arial"/>
                <w:sz w:val="20"/>
              </w:rPr>
              <w:t xml:space="preserve"> art. 17, § 1º, da LRF)? </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557E" w:rsidRPr="00482A50" w:rsidRDefault="008A557E" w:rsidP="00E77C6A">
            <w:pPr>
              <w:spacing w:line="276" w:lineRule="auto"/>
              <w:ind w:right="156"/>
              <w:jc w:val="both"/>
              <w:rPr>
                <w:rFonts w:cs="Arial"/>
                <w:sz w:val="20"/>
              </w:rPr>
            </w:pPr>
            <w:r w:rsidRPr="00482A50">
              <w:rPr>
                <w:rFonts w:cs="Arial"/>
                <w:b/>
                <w:sz w:val="20"/>
              </w:rPr>
              <w:t>6.</w:t>
            </w:r>
            <w:r w:rsidRPr="00482A50">
              <w:rPr>
                <w:rFonts w:cs="Arial"/>
                <w:sz w:val="20"/>
              </w:rPr>
              <w:t xml:space="preserve"> Consta que o aumento de despesas provocados pela migração do regime remuneratório da Tabela I para a Tabela II do Anexo I da Lei Complementar nº 127/2008 foi compensado pelo aumento permanente de receita ou pela redução permanente de despesa (art. 27-A, § 2º, I, da LC nº 127/2008 c/</w:t>
            </w:r>
            <w:proofErr w:type="gramStart"/>
            <w:r w:rsidRPr="00482A50">
              <w:rPr>
                <w:rFonts w:cs="Arial"/>
                <w:sz w:val="20"/>
              </w:rPr>
              <w:t>c</w:t>
            </w:r>
            <w:proofErr w:type="gramEnd"/>
            <w:r w:rsidRPr="00482A50">
              <w:rPr>
                <w:rFonts w:cs="Arial"/>
                <w:sz w:val="20"/>
              </w:rPr>
              <w:t xml:space="preserve"> art. 17, § 2º, da LRF)? </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3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30"/>
              <w:jc w:val="both"/>
              <w:rPr>
                <w:rFonts w:cs="Arial"/>
                <w:bCs/>
                <w:sz w:val="20"/>
              </w:rPr>
            </w:pPr>
            <w:r w:rsidRPr="00482A50">
              <w:rPr>
                <w:rFonts w:cs="Arial"/>
                <w:bCs/>
                <w:sz w:val="20"/>
              </w:rPr>
              <w:t>6.1</w:t>
            </w:r>
          </w:p>
        </w:tc>
        <w:tc>
          <w:tcPr>
            <w:tcW w:w="6677" w:type="dxa"/>
            <w:gridSpan w:val="4"/>
            <w:tcBorders>
              <w:top w:val="outset" w:sz="6" w:space="0" w:color="auto"/>
              <w:left w:val="outset" w:sz="6" w:space="0" w:color="auto"/>
              <w:bottom w:val="outset" w:sz="6" w:space="0" w:color="auto"/>
              <w:right w:val="outset" w:sz="6" w:space="0" w:color="auto"/>
            </w:tcBorders>
          </w:tcPr>
          <w:p w:rsidR="008A557E" w:rsidRPr="00482A50" w:rsidRDefault="008A557E" w:rsidP="00E77C6A">
            <w:pPr>
              <w:spacing w:line="276" w:lineRule="auto"/>
              <w:ind w:right="-30"/>
              <w:jc w:val="both"/>
              <w:rPr>
                <w:rFonts w:cs="Arial"/>
                <w:bCs/>
                <w:sz w:val="20"/>
              </w:rPr>
            </w:pPr>
            <w:r w:rsidRPr="00482A50">
              <w:rPr>
                <w:rFonts w:cs="Arial"/>
                <w:bCs/>
                <w:sz w:val="20"/>
              </w:rPr>
              <w:t xml:space="preserve">As medidas de compensação financeira foram implementadas </w:t>
            </w:r>
            <w:r w:rsidRPr="00482A50">
              <w:rPr>
                <w:rFonts w:cs="Arial"/>
                <w:sz w:val="20"/>
              </w:rPr>
              <w:t>(art. 27-A, § 2º, I, da LC nº 127/2008 c/c art. 17, § 5º,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122"/>
              <w:jc w:val="both"/>
              <w:rPr>
                <w:rFonts w:cs="Arial"/>
                <w:bCs/>
                <w:sz w:val="20"/>
              </w:rPr>
            </w:pPr>
            <w:r w:rsidRPr="00482A50">
              <w:rPr>
                <w:rFonts w:cs="Arial"/>
                <w:b/>
                <w:sz w:val="20"/>
              </w:rPr>
              <w:t>7.</w:t>
            </w:r>
            <w:r w:rsidRPr="00482A50">
              <w:rPr>
                <w:rFonts w:cs="Arial"/>
                <w:bCs/>
                <w:sz w:val="20"/>
              </w:rPr>
              <w:t xml:space="preserve"> Existe prévia dotação orçamentária suficiente para atender aos acréscimos decorrentes da </w:t>
            </w:r>
            <w:r w:rsidRPr="00482A50">
              <w:rPr>
                <w:rFonts w:cs="Arial"/>
                <w:sz w:val="20"/>
              </w:rPr>
              <w:t>implementação da migração do regime remuneratório da Tabela I para a Tabela II do Anexo I da Lei Complementar nº 127/2008 (art. 27-A, § 2º, II, da LC nº 127/2008 c/c art. 169, § 1º, I, da CF)?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122"/>
              <w:jc w:val="both"/>
              <w:rPr>
                <w:rFonts w:cs="Arial"/>
                <w:bCs/>
                <w:sz w:val="20"/>
              </w:rPr>
            </w:pPr>
            <w:r w:rsidRPr="00482A50">
              <w:rPr>
                <w:rFonts w:cs="Arial"/>
                <w:b/>
                <w:sz w:val="20"/>
              </w:rPr>
              <w:t>8.</w:t>
            </w:r>
            <w:r w:rsidRPr="00482A50">
              <w:rPr>
                <w:rFonts w:cs="Arial"/>
                <w:bCs/>
                <w:sz w:val="20"/>
              </w:rPr>
              <w:t xml:space="preserve"> Existe autorização específica na Lei de Diretrizes Orçamentárias para a </w:t>
            </w:r>
            <w:r w:rsidRPr="00482A50">
              <w:rPr>
                <w:rFonts w:cs="Arial"/>
                <w:sz w:val="20"/>
              </w:rPr>
              <w:t>implementação da migração do regime remuneratório da Tabela I para a Tabela II do Anexo I da Lei Complementar nº 127/2008 (art. 27-A, § 2º, II, da LC nº 127/2008 c/c art. 169, § 1º, II, da CF)?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122"/>
              <w:jc w:val="both"/>
              <w:rPr>
                <w:rFonts w:cs="Arial"/>
                <w:bCs/>
                <w:sz w:val="20"/>
              </w:rPr>
            </w:pPr>
            <w:r w:rsidRPr="00482A50">
              <w:rPr>
                <w:rFonts w:cs="Arial"/>
                <w:b/>
                <w:sz w:val="20"/>
              </w:rPr>
              <w:t>9.</w:t>
            </w:r>
            <w:r w:rsidRPr="00482A50">
              <w:rPr>
                <w:rFonts w:cs="Arial"/>
                <w:bCs/>
                <w:sz w:val="20"/>
              </w:rPr>
              <w:t xml:space="preserve"> A</w:t>
            </w:r>
            <w:r w:rsidRPr="00482A50">
              <w:rPr>
                <w:rFonts w:cs="Arial"/>
                <w:sz w:val="20"/>
              </w:rPr>
              <w:t xml:space="preserve"> implementação da migração do regime remuneratório da Tabela I para a Tabela II do Anexo I da Lei Complementar nº 127/2008 atende ao limite de despesas com pessoal ativo, inativo e pensionista (art. 27-A, § 2º,  II e III, da LC nº 127/2008 c/c art. 20, II, </w:t>
            </w:r>
            <w:r w:rsidRPr="00482A50">
              <w:rPr>
                <w:rFonts w:cs="Arial"/>
                <w:i/>
                <w:sz w:val="20"/>
              </w:rPr>
              <w:t>c</w:t>
            </w:r>
            <w:r w:rsidRPr="00482A50">
              <w:rPr>
                <w:rFonts w:cs="Arial"/>
                <w:sz w:val="20"/>
              </w:rPr>
              <w:t>,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3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30"/>
              <w:jc w:val="both"/>
              <w:rPr>
                <w:rFonts w:cs="Arial"/>
                <w:bCs/>
                <w:sz w:val="20"/>
              </w:rPr>
            </w:pPr>
            <w:r w:rsidRPr="00482A50">
              <w:rPr>
                <w:rFonts w:cs="Arial"/>
                <w:bCs/>
                <w:sz w:val="20"/>
              </w:rPr>
              <w:t>9.1</w:t>
            </w:r>
          </w:p>
        </w:tc>
        <w:tc>
          <w:tcPr>
            <w:tcW w:w="6677" w:type="dxa"/>
            <w:gridSpan w:val="4"/>
            <w:tcBorders>
              <w:top w:val="outset" w:sz="6" w:space="0" w:color="auto"/>
              <w:left w:val="outset" w:sz="6" w:space="0" w:color="auto"/>
              <w:bottom w:val="outset" w:sz="6" w:space="0" w:color="auto"/>
              <w:right w:val="outset" w:sz="6" w:space="0" w:color="auto"/>
            </w:tcBorders>
          </w:tcPr>
          <w:p w:rsidR="008A557E" w:rsidRPr="00482A50" w:rsidRDefault="008A557E" w:rsidP="00E77C6A">
            <w:pPr>
              <w:tabs>
                <w:tab w:val="left" w:pos="3894"/>
              </w:tabs>
              <w:spacing w:line="276" w:lineRule="auto"/>
              <w:ind w:right="122"/>
              <w:jc w:val="both"/>
              <w:rPr>
                <w:rFonts w:cs="Arial"/>
                <w:bCs/>
                <w:sz w:val="20"/>
              </w:rPr>
            </w:pPr>
            <w:r w:rsidRPr="00482A50">
              <w:rPr>
                <w:rFonts w:cs="Arial"/>
                <w:bCs/>
                <w:sz w:val="20"/>
              </w:rPr>
              <w:t>Foi juntado o Relatório de Gestão Fiscal?</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38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30"/>
              <w:jc w:val="both"/>
              <w:rPr>
                <w:rFonts w:cs="Arial"/>
                <w:bCs/>
                <w:sz w:val="20"/>
              </w:rPr>
            </w:pPr>
            <w:r w:rsidRPr="00482A50">
              <w:rPr>
                <w:rFonts w:cs="Arial"/>
                <w:bCs/>
                <w:sz w:val="20"/>
              </w:rPr>
              <w:t>9.2</w:t>
            </w:r>
          </w:p>
        </w:tc>
        <w:tc>
          <w:tcPr>
            <w:tcW w:w="6677" w:type="dxa"/>
            <w:gridSpan w:val="4"/>
            <w:tcBorders>
              <w:top w:val="outset" w:sz="6" w:space="0" w:color="auto"/>
              <w:left w:val="outset" w:sz="6" w:space="0" w:color="auto"/>
              <w:bottom w:val="outset" w:sz="6" w:space="0" w:color="auto"/>
              <w:right w:val="outset" w:sz="6" w:space="0" w:color="auto"/>
            </w:tcBorders>
          </w:tcPr>
          <w:p w:rsidR="008A557E" w:rsidRPr="00482A50" w:rsidRDefault="008A557E" w:rsidP="00E77C6A">
            <w:pPr>
              <w:spacing w:line="276" w:lineRule="auto"/>
              <w:ind w:right="122"/>
              <w:jc w:val="both"/>
              <w:rPr>
                <w:rFonts w:cs="Arial"/>
                <w:bCs/>
                <w:sz w:val="20"/>
              </w:rPr>
            </w:pPr>
            <w:r w:rsidRPr="00482A50">
              <w:rPr>
                <w:rFonts w:cs="Arial"/>
                <w:bCs/>
                <w:sz w:val="20"/>
              </w:rPr>
              <w:t>O Poder Executivo Estadual encontra-se fora do limite prudencial de despesa total com pessoal (</w:t>
            </w:r>
            <w:r w:rsidRPr="00482A50">
              <w:rPr>
                <w:rFonts w:cs="Arial"/>
                <w:sz w:val="20"/>
              </w:rPr>
              <w:t>art. 27-A, § 2º,  II, da LC nº 127/2008 c/c art. 22, § único,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122"/>
              <w:jc w:val="both"/>
              <w:rPr>
                <w:rFonts w:cs="Arial"/>
                <w:sz w:val="20"/>
                <w:highlight w:val="yellow"/>
              </w:rPr>
            </w:pPr>
            <w:r w:rsidRPr="00482A50">
              <w:rPr>
                <w:rFonts w:cs="Arial"/>
                <w:b/>
                <w:sz w:val="20"/>
              </w:rPr>
              <w:t xml:space="preserve">10. </w:t>
            </w:r>
            <w:r w:rsidRPr="00482A50">
              <w:rPr>
                <w:rFonts w:cs="Arial"/>
                <w:sz w:val="20"/>
              </w:rPr>
              <w:t>A implementação da migração do regime remuneratório da Tabela I para a Tabela II do Anexo I da Lei Complementar nº 127/2008 será realizada fora do período correspondente aos últimos dois quadrimestres do mandato eletivo do Governador do Estado (art. 27-A, § 2º,  II, da LC nº 127/2008 c/c art. 42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122"/>
              <w:jc w:val="both"/>
              <w:rPr>
                <w:rFonts w:cs="Arial"/>
                <w:b/>
                <w:sz w:val="20"/>
              </w:rPr>
            </w:pPr>
            <w:r w:rsidRPr="00482A50">
              <w:rPr>
                <w:rFonts w:cs="Arial"/>
                <w:b/>
                <w:sz w:val="20"/>
              </w:rPr>
              <w:t xml:space="preserve">11. </w:t>
            </w:r>
            <w:r w:rsidRPr="00482A50">
              <w:rPr>
                <w:rFonts w:cs="Arial"/>
                <w:sz w:val="20"/>
              </w:rPr>
              <w:t>A implementação da migração do regime remuneratório da Tabela I para a Tabela II do Anexo I da Lei Complementar nº 127/2008 será realizada de forma que as parcelas pagas ao interessado não sejam implementadas apenas em períodos posteriores ao encerramento do mandato do Governador do Estado em exercício quando da homologação (art. 158, § 3º, da CE c/c art. 21, III, da LRF)?</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r w:rsidR="008A557E" w:rsidRPr="00482A50" w:rsidTr="00E77C6A">
        <w:trPr>
          <w:gridBefore w:val="1"/>
          <w:wBefore w:w="38" w:type="dxa"/>
          <w:trHeight w:val="377"/>
          <w:tblCellSpacing w:w="0" w:type="dxa"/>
        </w:trPr>
        <w:tc>
          <w:tcPr>
            <w:tcW w:w="7057" w:type="dxa"/>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ind w:right="122"/>
              <w:jc w:val="both"/>
              <w:rPr>
                <w:rFonts w:cs="Arial"/>
                <w:sz w:val="20"/>
              </w:rPr>
            </w:pPr>
            <w:r w:rsidRPr="00482A50">
              <w:rPr>
                <w:rFonts w:cs="Arial"/>
                <w:b/>
                <w:sz w:val="20"/>
              </w:rPr>
              <w:lastRenderedPageBreak/>
              <w:t>12.</w:t>
            </w:r>
            <w:r w:rsidRPr="00482A50">
              <w:rPr>
                <w:rFonts w:cs="Arial"/>
                <w:bCs/>
                <w:sz w:val="20"/>
              </w:rPr>
              <w:t xml:space="preserve"> A</w:t>
            </w:r>
            <w:r w:rsidRPr="00482A50">
              <w:rPr>
                <w:rFonts w:cs="Arial"/>
                <w:sz w:val="20"/>
              </w:rPr>
              <w:t xml:space="preserve"> implementação da migração do regime remuneratório da Tabela I para a Tabela II do Anexo I da Lei Complementar nº 127/2008 respeita os limites individualizados para despesas primárias previstos no art. 56 do Ato das Disposições Constitucionais e Transitórias da Constituição Estadual conforme explicitado no parecer ?</w:t>
            </w:r>
          </w:p>
        </w:tc>
        <w:tc>
          <w:tcPr>
            <w:tcW w:w="47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597"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c>
          <w:tcPr>
            <w:tcW w:w="67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557E" w:rsidRPr="00482A50" w:rsidRDefault="008A557E" w:rsidP="00E77C6A">
            <w:pPr>
              <w:spacing w:line="276" w:lineRule="auto"/>
              <w:rPr>
                <w:rFonts w:cs="Arial"/>
              </w:rPr>
            </w:pPr>
          </w:p>
        </w:tc>
      </w:tr>
    </w:tbl>
    <w:p w:rsidR="001E5F73" w:rsidRPr="008A557E" w:rsidRDefault="001E5F73" w:rsidP="008A557E"/>
    <w:sectPr w:rsidR="001E5F73" w:rsidRPr="008A557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7E" w:rsidRDefault="008A557E" w:rsidP="008A557E">
      <w:r>
        <w:separator/>
      </w:r>
    </w:p>
  </w:endnote>
  <w:endnote w:type="continuationSeparator" w:id="0">
    <w:p w:rsidR="008A557E" w:rsidRDefault="008A557E" w:rsidP="008A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77C" w:rsidRDefault="0035077C" w:rsidP="0035077C">
    <w:pPr>
      <w:pStyle w:val="Corpodetexto"/>
      <w:spacing w:line="14" w:lineRule="auto"/>
      <w:rPr>
        <w:sz w:val="20"/>
      </w:rPr>
    </w:pPr>
    <w:r>
      <w:tab/>
    </w:r>
  </w:p>
  <w:p w:rsidR="0035077C" w:rsidRDefault="0035077C" w:rsidP="0035077C">
    <w:pPr>
      <w:pStyle w:val="Rodap"/>
    </w:pPr>
  </w:p>
  <w:p w:rsidR="0035077C" w:rsidRDefault="0035077C" w:rsidP="0035077C"/>
  <w:p w:rsidR="0035077C" w:rsidRDefault="0035077C" w:rsidP="0035077C">
    <w:pPr>
      <w:pStyle w:val="Corpodetexto"/>
      <w:spacing w:line="14" w:lineRule="auto"/>
      <w:rPr>
        <w:sz w:val="20"/>
      </w:rPr>
    </w:pPr>
    <w:r>
      <w:rPr>
        <w:noProof/>
        <w:lang w:val="pt-BR" w:eastAsia="pt-BR"/>
      </w:rPr>
      <mc:AlternateContent>
        <mc:Choice Requires="wps">
          <w:drawing>
            <wp:anchor distT="0" distB="0" distL="0" distR="0" simplePos="0" relativeHeight="251660288" behindDoc="1" locked="0" layoutInCell="1" allowOverlap="1" wp14:anchorId="6DA9601F" wp14:editId="15D9671F">
              <wp:simplePos x="0" y="0"/>
              <wp:positionH relativeFrom="page">
                <wp:posOffset>1936750</wp:posOffset>
              </wp:positionH>
              <wp:positionV relativeFrom="page">
                <wp:posOffset>9958145</wp:posOffset>
              </wp:positionV>
              <wp:extent cx="143637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6370" cy="139700"/>
                      </a:xfrm>
                      <a:prstGeom prst="rect">
                        <a:avLst/>
                      </a:prstGeom>
                    </wps:spPr>
                    <wps:txbx>
                      <w:txbxContent>
                        <w:p w:rsidR="0035077C" w:rsidRDefault="0035077C" w:rsidP="0035077C">
                          <w:pPr>
                            <w:spacing w:line="203" w:lineRule="exact"/>
                            <w:ind w:left="20"/>
                            <w:rPr>
                              <w:rFonts w:ascii="Calibri" w:hAnsi="Calibri"/>
                              <w:sz w:val="18"/>
                            </w:rPr>
                          </w:pPr>
                          <w:r>
                            <w:rPr>
                              <w:rFonts w:ascii="Calibri" w:hAnsi="Calibri"/>
                              <w:sz w:val="18"/>
                            </w:rPr>
                            <w:t>Parque</w:t>
                          </w:r>
                          <w:r>
                            <w:rPr>
                              <w:rFonts w:ascii="Calibri" w:hAnsi="Calibri"/>
                              <w:spacing w:val="-3"/>
                              <w:sz w:val="18"/>
                            </w:rPr>
                            <w:t xml:space="preserve"> </w:t>
                          </w:r>
                          <w:r>
                            <w:rPr>
                              <w:rFonts w:ascii="Calibri" w:hAnsi="Calibri"/>
                              <w:sz w:val="18"/>
                            </w:rPr>
                            <w:t>dos</w:t>
                          </w:r>
                          <w:r>
                            <w:rPr>
                              <w:rFonts w:ascii="Calibri" w:hAnsi="Calibri"/>
                              <w:spacing w:val="-3"/>
                              <w:sz w:val="18"/>
                            </w:rPr>
                            <w:t xml:space="preserve"> </w:t>
                          </w:r>
                          <w:r>
                            <w:rPr>
                              <w:rFonts w:ascii="Calibri" w:hAnsi="Calibri"/>
                              <w:sz w:val="18"/>
                            </w:rPr>
                            <w:t>Poderes –</w:t>
                          </w:r>
                          <w:r>
                            <w:rPr>
                              <w:rFonts w:ascii="Calibri" w:hAnsi="Calibri"/>
                              <w:spacing w:val="-3"/>
                              <w:sz w:val="18"/>
                            </w:rPr>
                            <w:t xml:space="preserve"> </w:t>
                          </w:r>
                          <w:r>
                            <w:rPr>
                              <w:rFonts w:ascii="Calibri" w:hAnsi="Calibri"/>
                              <w:sz w:val="18"/>
                            </w:rPr>
                            <w:t>Bloco</w:t>
                          </w:r>
                          <w:r>
                            <w:rPr>
                              <w:rFonts w:ascii="Calibri" w:hAnsi="Calibri"/>
                              <w:spacing w:val="-1"/>
                              <w:sz w:val="18"/>
                            </w:rPr>
                            <w:t xml:space="preserve"> </w:t>
                          </w:r>
                          <w:r>
                            <w:rPr>
                              <w:rFonts w:ascii="Calibri" w:hAnsi="Calibri"/>
                              <w:spacing w:val="-5"/>
                              <w:sz w:val="18"/>
                            </w:rPr>
                            <w:t>IV</w:t>
                          </w:r>
                        </w:p>
                      </w:txbxContent>
                    </wps:txbx>
                    <wps:bodyPr wrap="square" lIns="0" tIns="0" rIns="0" bIns="0" rtlCol="0">
                      <a:noAutofit/>
                    </wps:bodyPr>
                  </wps:wsp>
                </a:graphicData>
              </a:graphic>
            </wp:anchor>
          </w:drawing>
        </mc:Choice>
        <mc:Fallback>
          <w:pict>
            <v:shapetype w14:anchorId="6DA9601F" id="_x0000_t202" coordsize="21600,21600" o:spt="202" path="m,l,21600r21600,l21600,xe">
              <v:stroke joinstyle="miter"/>
              <v:path gradientshapeok="t" o:connecttype="rect"/>
            </v:shapetype>
            <v:shape id="Textbox 2" o:spid="_x0000_s1026" type="#_x0000_t202" style="position:absolute;margin-left:152.5pt;margin-top:784.1pt;width:113.1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" filled="f" stroked="f">
              <v:path arrowok="t"/>
              <v:textbox inset="0,0,0,0">
                <w:txbxContent>
                  <w:p w:rsidR="0035077C" w:rsidRDefault="0035077C" w:rsidP="0035077C">
                    <w:pPr>
                      <w:spacing w:line="203" w:lineRule="exact"/>
                      <w:ind w:left="20"/>
                      <w:rPr>
                        <w:rFonts w:ascii="Calibri" w:hAnsi="Calibri"/>
                        <w:sz w:val="18"/>
                      </w:rPr>
                    </w:pPr>
                    <w:r>
                      <w:rPr>
                        <w:rFonts w:ascii="Calibri" w:hAnsi="Calibri"/>
                        <w:sz w:val="18"/>
                      </w:rPr>
                      <w:t>Parque</w:t>
                    </w:r>
                    <w:r>
                      <w:rPr>
                        <w:rFonts w:ascii="Calibri" w:hAnsi="Calibri"/>
                        <w:spacing w:val="-3"/>
                        <w:sz w:val="18"/>
                      </w:rPr>
                      <w:t xml:space="preserve"> </w:t>
                    </w:r>
                    <w:r>
                      <w:rPr>
                        <w:rFonts w:ascii="Calibri" w:hAnsi="Calibri"/>
                        <w:sz w:val="18"/>
                      </w:rPr>
                      <w:t>dos</w:t>
                    </w:r>
                    <w:r>
                      <w:rPr>
                        <w:rFonts w:ascii="Calibri" w:hAnsi="Calibri"/>
                        <w:spacing w:val="-3"/>
                        <w:sz w:val="18"/>
                      </w:rPr>
                      <w:t xml:space="preserve"> </w:t>
                    </w:r>
                    <w:r>
                      <w:rPr>
                        <w:rFonts w:ascii="Calibri" w:hAnsi="Calibri"/>
                        <w:sz w:val="18"/>
                      </w:rPr>
                      <w:t>Poderes –</w:t>
                    </w:r>
                    <w:r>
                      <w:rPr>
                        <w:rFonts w:ascii="Calibri" w:hAnsi="Calibri"/>
                        <w:spacing w:val="-3"/>
                        <w:sz w:val="18"/>
                      </w:rPr>
                      <w:t xml:space="preserve"> </w:t>
                    </w:r>
                    <w:r>
                      <w:rPr>
                        <w:rFonts w:ascii="Calibri" w:hAnsi="Calibri"/>
                        <w:sz w:val="18"/>
                      </w:rPr>
                      <w:t>Bloco</w:t>
                    </w:r>
                    <w:r>
                      <w:rPr>
                        <w:rFonts w:ascii="Calibri" w:hAnsi="Calibri"/>
                        <w:spacing w:val="-1"/>
                        <w:sz w:val="18"/>
                      </w:rPr>
                      <w:t xml:space="preserve"> </w:t>
                    </w:r>
                    <w:r>
                      <w:rPr>
                        <w:rFonts w:ascii="Calibri" w:hAnsi="Calibri"/>
                        <w:spacing w:val="-5"/>
                        <w:sz w:val="18"/>
                      </w:rPr>
                      <w:t>IV</w:t>
                    </w:r>
                  </w:p>
                </w:txbxContent>
              </v:textbox>
              <w10:wrap anchorx="page" anchory="page"/>
            </v:shape>
          </w:pict>
        </mc:Fallback>
      </mc:AlternateContent>
    </w:r>
    <w:r>
      <w:rPr>
        <w:noProof/>
        <w:lang w:val="pt-BR" w:eastAsia="pt-BR"/>
      </w:rPr>
      <mc:AlternateContent>
        <mc:Choice Requires="wps">
          <w:drawing>
            <wp:anchor distT="0" distB="0" distL="0" distR="0" simplePos="0" relativeHeight="251661312" behindDoc="1" locked="0" layoutInCell="1" allowOverlap="1" wp14:anchorId="5055CC6E" wp14:editId="06906C56">
              <wp:simplePos x="0" y="0"/>
              <wp:positionH relativeFrom="page">
                <wp:posOffset>3553714</wp:posOffset>
              </wp:positionH>
              <wp:positionV relativeFrom="page">
                <wp:posOffset>9958145</wp:posOffset>
              </wp:positionV>
              <wp:extent cx="7810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39700"/>
                      </a:xfrm>
                      <a:prstGeom prst="rect">
                        <a:avLst/>
                      </a:prstGeom>
                    </wps:spPr>
                    <wps:txbx>
                      <w:txbxContent>
                        <w:p w:rsidR="0035077C" w:rsidRDefault="0035077C" w:rsidP="0035077C">
                          <w:pPr>
                            <w:spacing w:line="203" w:lineRule="exact"/>
                            <w:ind w:left="20"/>
                            <w:rPr>
                              <w:rFonts w:ascii="Calibri"/>
                              <w:sz w:val="18"/>
                            </w:rPr>
                          </w:pPr>
                          <w:r>
                            <w:rPr>
                              <w:rFonts w:ascii="Calibri"/>
                              <w:spacing w:val="-10"/>
                              <w:sz w:val="18"/>
                            </w:rPr>
                            <w:t>|</w:t>
                          </w:r>
                        </w:p>
                      </w:txbxContent>
                    </wps:txbx>
                    <wps:bodyPr wrap="square" lIns="0" tIns="0" rIns="0" bIns="0" rtlCol="0">
                      <a:noAutofit/>
                    </wps:bodyPr>
                  </wps:wsp>
                </a:graphicData>
              </a:graphic>
            </wp:anchor>
          </w:drawing>
        </mc:Choice>
        <mc:Fallback>
          <w:pict>
            <v:shape w14:anchorId="5055CC6E" id="Textbox 3" o:spid="_x0000_s1027" type="#_x0000_t202" style="position:absolute;margin-left:279.8pt;margin-top:784.1pt;width:6.15pt;height:1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" filled="f" stroked="f">
              <v:path arrowok="t"/>
              <v:textbox inset="0,0,0,0">
                <w:txbxContent>
                  <w:p w:rsidR="0035077C" w:rsidRDefault="0035077C" w:rsidP="0035077C">
                    <w:pPr>
                      <w:spacing w:line="203" w:lineRule="exact"/>
                      <w:ind w:left="20"/>
                      <w:rPr>
                        <w:rFonts w:ascii="Calibri"/>
                        <w:sz w:val="18"/>
                      </w:rPr>
                    </w:pPr>
                    <w:r>
                      <w:rPr>
                        <w:rFonts w:ascii="Calibri"/>
                        <w:spacing w:val="-10"/>
                        <w:sz w:val="18"/>
                      </w:rPr>
                      <w:t>|</w:t>
                    </w:r>
                  </w:p>
                </w:txbxContent>
              </v:textbox>
              <w10:wrap anchorx="page" anchory="page"/>
            </v:shape>
          </w:pict>
        </mc:Fallback>
      </mc:AlternateContent>
    </w:r>
    <w:r>
      <w:rPr>
        <w:noProof/>
        <w:lang w:val="pt-BR" w:eastAsia="pt-BR"/>
      </w:rPr>
      <mc:AlternateContent>
        <mc:Choice Requires="wps">
          <w:drawing>
            <wp:anchor distT="0" distB="0" distL="0" distR="0" simplePos="0" relativeHeight="251662336" behindDoc="1" locked="0" layoutInCell="1" allowOverlap="1" wp14:anchorId="6D98C095" wp14:editId="18210DD1">
              <wp:simplePos x="0" y="0"/>
              <wp:positionH relativeFrom="page">
                <wp:posOffset>3814698</wp:posOffset>
              </wp:positionH>
              <wp:positionV relativeFrom="page">
                <wp:posOffset>9958145</wp:posOffset>
              </wp:positionV>
              <wp:extent cx="979169"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9169" cy="139700"/>
                      </a:xfrm>
                      <a:prstGeom prst="rect">
                        <a:avLst/>
                      </a:prstGeom>
                    </wps:spPr>
                    <wps:txbx>
                      <w:txbxContent>
                        <w:p w:rsidR="0035077C" w:rsidRDefault="0035077C" w:rsidP="0035077C">
                          <w:pPr>
                            <w:spacing w:line="203" w:lineRule="exact"/>
                            <w:ind w:left="20"/>
                            <w:rPr>
                              <w:rFonts w:ascii="Calibri" w:hAnsi="Calibri"/>
                              <w:sz w:val="18"/>
                            </w:rPr>
                          </w:pPr>
                          <w:r>
                            <w:rPr>
                              <w:rFonts w:ascii="Calibri" w:hAnsi="Calibri"/>
                              <w:sz w:val="18"/>
                            </w:rPr>
                            <w:t>Campo</w:t>
                          </w:r>
                          <w:r>
                            <w:rPr>
                              <w:rFonts w:ascii="Calibri" w:hAnsi="Calibri"/>
                              <w:spacing w:val="-3"/>
                              <w:sz w:val="18"/>
                            </w:rPr>
                            <w:t xml:space="preserve"> </w:t>
                          </w:r>
                          <w:r>
                            <w:rPr>
                              <w:rFonts w:ascii="Calibri" w:hAnsi="Calibri"/>
                              <w:sz w:val="18"/>
                            </w:rPr>
                            <w:t>Grande</w:t>
                          </w:r>
                          <w:r>
                            <w:rPr>
                              <w:rFonts w:ascii="Calibri" w:hAnsi="Calibri"/>
                              <w:spacing w:val="-3"/>
                              <w:sz w:val="18"/>
                            </w:rPr>
                            <w:t xml:space="preserve"> </w:t>
                          </w:r>
                          <w:r>
                            <w:rPr>
                              <w:rFonts w:ascii="Calibri" w:hAnsi="Calibri"/>
                              <w:sz w:val="18"/>
                            </w:rPr>
                            <w:t>–</w:t>
                          </w:r>
                          <w:r>
                            <w:rPr>
                              <w:rFonts w:ascii="Calibri" w:hAnsi="Calibri"/>
                              <w:spacing w:val="-3"/>
                              <w:sz w:val="18"/>
                            </w:rPr>
                            <w:t xml:space="preserve"> </w:t>
                          </w:r>
                          <w:r>
                            <w:rPr>
                              <w:rFonts w:ascii="Calibri" w:hAnsi="Calibri"/>
                              <w:spacing w:val="-5"/>
                              <w:sz w:val="18"/>
                            </w:rPr>
                            <w:t>MS</w:t>
                          </w:r>
                        </w:p>
                      </w:txbxContent>
                    </wps:txbx>
                    <wps:bodyPr wrap="square" lIns="0" tIns="0" rIns="0" bIns="0" rtlCol="0">
                      <a:noAutofit/>
                    </wps:bodyPr>
                  </wps:wsp>
                </a:graphicData>
              </a:graphic>
            </wp:anchor>
          </w:drawing>
        </mc:Choice>
        <mc:Fallback>
          <w:pict>
            <v:shape w14:anchorId="6D98C095" id="Textbox 4" o:spid="_x0000_s1028" type="#_x0000_t202" style="position:absolute;margin-left:300.35pt;margin-top:784.1pt;width:77.1pt;height:1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" filled="f" stroked="f">
              <v:path arrowok="t"/>
              <v:textbox inset="0,0,0,0">
                <w:txbxContent>
                  <w:p w:rsidR="0035077C" w:rsidRDefault="0035077C" w:rsidP="0035077C">
                    <w:pPr>
                      <w:spacing w:line="203" w:lineRule="exact"/>
                      <w:ind w:left="20"/>
                      <w:rPr>
                        <w:rFonts w:ascii="Calibri" w:hAnsi="Calibri"/>
                        <w:sz w:val="18"/>
                      </w:rPr>
                    </w:pPr>
                    <w:r>
                      <w:rPr>
                        <w:rFonts w:ascii="Calibri" w:hAnsi="Calibri"/>
                        <w:sz w:val="18"/>
                      </w:rPr>
                      <w:t>Campo</w:t>
                    </w:r>
                    <w:r>
                      <w:rPr>
                        <w:rFonts w:ascii="Calibri" w:hAnsi="Calibri"/>
                        <w:spacing w:val="-3"/>
                        <w:sz w:val="18"/>
                      </w:rPr>
                      <w:t xml:space="preserve"> </w:t>
                    </w:r>
                    <w:r>
                      <w:rPr>
                        <w:rFonts w:ascii="Calibri" w:hAnsi="Calibri"/>
                        <w:sz w:val="18"/>
                      </w:rPr>
                      <w:t>Grande</w:t>
                    </w:r>
                    <w:r>
                      <w:rPr>
                        <w:rFonts w:ascii="Calibri" w:hAnsi="Calibri"/>
                        <w:spacing w:val="-3"/>
                        <w:sz w:val="18"/>
                      </w:rPr>
                      <w:t xml:space="preserve"> </w:t>
                    </w:r>
                    <w:r>
                      <w:rPr>
                        <w:rFonts w:ascii="Calibri" w:hAnsi="Calibri"/>
                        <w:sz w:val="18"/>
                      </w:rPr>
                      <w:t>–</w:t>
                    </w:r>
                    <w:r>
                      <w:rPr>
                        <w:rFonts w:ascii="Calibri" w:hAnsi="Calibri"/>
                        <w:spacing w:val="-3"/>
                        <w:sz w:val="18"/>
                      </w:rPr>
                      <w:t xml:space="preserve"> </w:t>
                    </w:r>
                    <w:r>
                      <w:rPr>
                        <w:rFonts w:ascii="Calibri" w:hAnsi="Calibri"/>
                        <w:spacing w:val="-5"/>
                        <w:sz w:val="18"/>
                      </w:rPr>
                      <w:t>MS</w:t>
                    </w:r>
                  </w:p>
                </w:txbxContent>
              </v:textbox>
              <w10:wrap anchorx="page" anchory="page"/>
            </v:shape>
          </w:pict>
        </mc:Fallback>
      </mc:AlternateContent>
    </w:r>
    <w:r>
      <w:rPr>
        <w:noProof/>
        <w:lang w:val="pt-BR" w:eastAsia="pt-BR"/>
      </w:rPr>
      <mc:AlternateContent>
        <mc:Choice Requires="wps">
          <w:drawing>
            <wp:anchor distT="0" distB="0" distL="0" distR="0" simplePos="0" relativeHeight="251663360" behindDoc="1" locked="0" layoutInCell="1" allowOverlap="1" wp14:anchorId="471BBDCD" wp14:editId="0E4D4821">
              <wp:simplePos x="0" y="0"/>
              <wp:positionH relativeFrom="page">
                <wp:posOffset>4974317</wp:posOffset>
              </wp:positionH>
              <wp:positionV relativeFrom="page">
                <wp:posOffset>9958145</wp:posOffset>
              </wp:positionV>
              <wp:extent cx="96520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139700"/>
                      </a:xfrm>
                      <a:prstGeom prst="rect">
                        <a:avLst/>
                      </a:prstGeom>
                    </wps:spPr>
                    <wps:txbx>
                      <w:txbxContent>
                        <w:p w:rsidR="0035077C" w:rsidRDefault="0035077C" w:rsidP="0035077C">
                          <w:pPr>
                            <w:tabs>
                              <w:tab w:val="left" w:pos="349"/>
                            </w:tabs>
                            <w:spacing w:line="203" w:lineRule="exact"/>
                            <w:ind w:left="20"/>
                            <w:rPr>
                              <w:rFonts w:ascii="Calibri"/>
                              <w:sz w:val="18"/>
                            </w:rPr>
                          </w:pPr>
                          <w:r>
                            <w:rPr>
                              <w:rFonts w:ascii="Calibri"/>
                              <w:spacing w:val="-10"/>
                              <w:sz w:val="18"/>
                            </w:rPr>
                            <w:t>|</w:t>
                          </w:r>
                          <w:r>
                            <w:rPr>
                              <w:rFonts w:ascii="Calibri"/>
                              <w:sz w:val="18"/>
                            </w:rPr>
                            <w:tab/>
                            <w:t>CEP</w:t>
                          </w:r>
                          <w:r>
                            <w:rPr>
                              <w:rFonts w:ascii="Calibri"/>
                              <w:spacing w:val="-1"/>
                              <w:sz w:val="18"/>
                            </w:rPr>
                            <w:t xml:space="preserve"> </w:t>
                          </w:r>
                          <w:r>
                            <w:rPr>
                              <w:rFonts w:ascii="Calibri"/>
                              <w:sz w:val="18"/>
                            </w:rPr>
                            <w:t>79.031-</w:t>
                          </w:r>
                          <w:r>
                            <w:rPr>
                              <w:rFonts w:ascii="Calibri"/>
                              <w:spacing w:val="-5"/>
                              <w:sz w:val="18"/>
                            </w:rPr>
                            <w:t>310</w:t>
                          </w:r>
                        </w:p>
                      </w:txbxContent>
                    </wps:txbx>
                    <wps:bodyPr wrap="square" lIns="0" tIns="0" rIns="0" bIns="0" rtlCol="0">
                      <a:noAutofit/>
                    </wps:bodyPr>
                  </wps:wsp>
                </a:graphicData>
              </a:graphic>
            </wp:anchor>
          </w:drawing>
        </mc:Choice>
        <mc:Fallback>
          <w:pict>
            <v:shape w14:anchorId="471BBDCD" id="Textbox 5" o:spid="_x0000_s1029" type="#_x0000_t202" style="position:absolute;margin-left:391.7pt;margin-top:784.1pt;width:76pt;height:1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" filled="f" stroked="f">
              <v:path arrowok="t"/>
              <v:textbox inset="0,0,0,0">
                <w:txbxContent>
                  <w:p w:rsidR="0035077C" w:rsidRDefault="0035077C" w:rsidP="0035077C">
                    <w:pPr>
                      <w:tabs>
                        <w:tab w:val="left" w:pos="349"/>
                      </w:tabs>
                      <w:spacing w:line="203" w:lineRule="exact"/>
                      <w:ind w:left="20"/>
                      <w:rPr>
                        <w:rFonts w:ascii="Calibri"/>
                        <w:sz w:val="18"/>
                      </w:rPr>
                    </w:pPr>
                    <w:r>
                      <w:rPr>
                        <w:rFonts w:ascii="Calibri"/>
                        <w:spacing w:val="-10"/>
                        <w:sz w:val="18"/>
                      </w:rPr>
                      <w:t>|</w:t>
                    </w:r>
                    <w:r>
                      <w:rPr>
                        <w:rFonts w:ascii="Calibri"/>
                        <w:sz w:val="18"/>
                      </w:rPr>
                      <w:tab/>
                      <w:t>CEP</w:t>
                    </w:r>
                    <w:r>
                      <w:rPr>
                        <w:rFonts w:ascii="Calibri"/>
                        <w:spacing w:val="-1"/>
                        <w:sz w:val="18"/>
                      </w:rPr>
                      <w:t xml:space="preserve"> </w:t>
                    </w:r>
                    <w:r>
                      <w:rPr>
                        <w:rFonts w:ascii="Calibri"/>
                        <w:sz w:val="18"/>
                      </w:rPr>
                      <w:t>79.031-</w:t>
                    </w:r>
                    <w:r>
                      <w:rPr>
                        <w:rFonts w:ascii="Calibri"/>
                        <w:spacing w:val="-5"/>
                        <w:sz w:val="18"/>
                      </w:rPr>
                      <w:t>310</w:t>
                    </w:r>
                  </w:p>
                </w:txbxContent>
              </v:textbox>
              <w10:wrap anchorx="page" anchory="page"/>
            </v:shape>
          </w:pict>
        </mc:Fallback>
      </mc:AlternateContent>
    </w:r>
    <w:r>
      <w:rPr>
        <w:noProof/>
        <w:lang w:val="pt-BR" w:eastAsia="pt-BR"/>
      </w:rPr>
      <mc:AlternateContent>
        <mc:Choice Requires="wps">
          <w:drawing>
            <wp:anchor distT="0" distB="0" distL="0" distR="0" simplePos="0" relativeHeight="251664384" behindDoc="1" locked="0" layoutInCell="1" allowOverlap="1" wp14:anchorId="45D4C79F" wp14:editId="0EFAE9FE">
              <wp:simplePos x="0" y="0"/>
              <wp:positionH relativeFrom="page">
                <wp:posOffset>2804286</wp:posOffset>
              </wp:positionH>
              <wp:positionV relativeFrom="page">
                <wp:posOffset>10098658</wp:posOffset>
              </wp:positionV>
              <wp:extent cx="986155" cy="139700"/>
              <wp:effectExtent l="0" t="0" r="0" b="0"/>
              <wp:wrapNone/>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139700"/>
                      </a:xfrm>
                      <a:prstGeom prst="rect">
                        <a:avLst/>
                      </a:prstGeom>
                    </wps:spPr>
                    <wps:txbx>
                      <w:txbxContent>
                        <w:p w:rsidR="0035077C" w:rsidRDefault="0035077C" w:rsidP="0035077C">
                          <w:pPr>
                            <w:spacing w:line="203" w:lineRule="exact"/>
                            <w:ind w:left="20"/>
                            <w:rPr>
                              <w:rFonts w:ascii="Calibri"/>
                              <w:b/>
                              <w:sz w:val="18"/>
                            </w:rPr>
                          </w:pPr>
                          <w:hyperlink r:id="rId1">
                            <w:r>
                              <w:rPr>
                                <w:rFonts w:ascii="Calibri"/>
                                <w:b/>
                                <w:spacing w:val="-2"/>
                                <w:sz w:val="18"/>
                              </w:rPr>
                              <w:t>www.pge.ms.gov.br</w:t>
                            </w:r>
                          </w:hyperlink>
                        </w:p>
                      </w:txbxContent>
                    </wps:txbx>
                    <wps:bodyPr wrap="square" lIns="0" tIns="0" rIns="0" bIns="0" rtlCol="0">
                      <a:noAutofit/>
                    </wps:bodyPr>
                  </wps:wsp>
                </a:graphicData>
              </a:graphic>
            </wp:anchor>
          </w:drawing>
        </mc:Choice>
        <mc:Fallback>
          <w:pict>
            <v:shape w14:anchorId="45D4C79F" id="Textbox 6" o:spid="_x0000_s1030" type="#_x0000_t202" style="position:absolute;margin-left:220.8pt;margin-top:795.15pt;width:77.65pt;height:1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" filled="f" stroked="f">
              <v:path arrowok="t"/>
              <v:textbox inset="0,0,0,0">
                <w:txbxContent>
                  <w:p w:rsidR="0035077C" w:rsidRDefault="0035077C" w:rsidP="0035077C">
                    <w:pPr>
                      <w:spacing w:line="203" w:lineRule="exact"/>
                      <w:ind w:left="20"/>
                      <w:rPr>
                        <w:rFonts w:ascii="Calibri"/>
                        <w:b/>
                        <w:sz w:val="18"/>
                      </w:rPr>
                    </w:pPr>
                    <w:hyperlink r:id="rId2">
                      <w:r>
                        <w:rPr>
                          <w:rFonts w:ascii="Calibri"/>
                          <w:b/>
                          <w:spacing w:val="-2"/>
                          <w:sz w:val="18"/>
                        </w:rPr>
                        <w:t>www.pge.ms.gov.br</w:t>
                      </w:r>
                    </w:hyperlink>
                  </w:p>
                </w:txbxContent>
              </v:textbox>
              <w10:wrap anchorx="page" anchory="page"/>
            </v:shape>
          </w:pict>
        </mc:Fallback>
      </mc:AlternateContent>
    </w:r>
  </w:p>
  <w:p w:rsidR="0035077C" w:rsidRDefault="0035077C" w:rsidP="0035077C">
    <w:pPr>
      <w:pStyle w:val="Rodap"/>
      <w:tabs>
        <w:tab w:val="clear" w:pos="4252"/>
        <w:tab w:val="clear" w:pos="8504"/>
        <w:tab w:val="left" w:pos="18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7E" w:rsidRDefault="008A557E" w:rsidP="008A557E">
      <w:r>
        <w:separator/>
      </w:r>
    </w:p>
  </w:footnote>
  <w:footnote w:type="continuationSeparator" w:id="0">
    <w:p w:rsidR="008A557E" w:rsidRDefault="008A557E" w:rsidP="008A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7E" w:rsidRDefault="0035077C" w:rsidP="0035077C">
    <w:pPr>
      <w:pStyle w:val="Cabealho"/>
      <w:jc w:val="center"/>
    </w:pPr>
    <w:r>
      <w:rPr>
        <w:noProof/>
      </w:rPr>
      <w:drawing>
        <wp:anchor distT="0" distB="0" distL="0" distR="0" simplePos="0" relativeHeight="251659264" behindDoc="1" locked="0" layoutInCell="1" allowOverlap="1" wp14:anchorId="599EB3C8" wp14:editId="3863F48C">
          <wp:simplePos x="0" y="0"/>
          <wp:positionH relativeFrom="page">
            <wp:posOffset>2678430</wp:posOffset>
          </wp:positionH>
          <wp:positionV relativeFrom="topMargin">
            <wp:align>bottom</wp:align>
          </wp:positionV>
          <wp:extent cx="2667000" cy="778509"/>
          <wp:effectExtent l="0" t="0" r="0" b="317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67000" cy="77850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A2"/>
    <w:rsid w:val="00131A81"/>
    <w:rsid w:val="001E5F73"/>
    <w:rsid w:val="0035077C"/>
    <w:rsid w:val="004C5BA2"/>
    <w:rsid w:val="0072452D"/>
    <w:rsid w:val="008A557E"/>
    <w:rsid w:val="008F0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97081C-C2C5-4D3D-A2BA-5179F5D9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31A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8A557E"/>
    <w:pPr>
      <w:tabs>
        <w:tab w:val="center" w:pos="4252"/>
        <w:tab w:val="right" w:pos="8504"/>
      </w:tabs>
    </w:pPr>
  </w:style>
  <w:style w:type="character" w:customStyle="1" w:styleId="CabealhoChar">
    <w:name w:val="Cabeçalho Char"/>
    <w:basedOn w:val="Fontepargpadro"/>
    <w:link w:val="Cabealho"/>
    <w:uiPriority w:val="99"/>
    <w:rsid w:val="008A557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A557E"/>
    <w:pPr>
      <w:tabs>
        <w:tab w:val="center" w:pos="4252"/>
        <w:tab w:val="right" w:pos="8504"/>
      </w:tabs>
    </w:pPr>
  </w:style>
  <w:style w:type="character" w:customStyle="1" w:styleId="RodapChar">
    <w:name w:val="Rodapé Char"/>
    <w:basedOn w:val="Fontepargpadro"/>
    <w:link w:val="Rodap"/>
    <w:uiPriority w:val="99"/>
    <w:rsid w:val="008A557E"/>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35077C"/>
    <w:pPr>
      <w:widowControl w:val="0"/>
      <w:autoSpaceDE w:val="0"/>
      <w:autoSpaceDN w:val="0"/>
    </w:pPr>
    <w:rPr>
      <w:lang w:val="pt-PT" w:eastAsia="en-US"/>
    </w:rPr>
  </w:style>
  <w:style w:type="character" w:customStyle="1" w:styleId="CorpodetextoChar">
    <w:name w:val="Corpo de texto Char"/>
    <w:basedOn w:val="Fontepargpadro"/>
    <w:link w:val="Corpodetexto"/>
    <w:uiPriority w:val="1"/>
    <w:rsid w:val="0035077C"/>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ge.ms.gov.br/" TargetMode="External"/><Relationship Id="rId1"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955</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6</cp:revision>
  <dcterms:created xsi:type="dcterms:W3CDTF">2024-02-28T16:06:00Z</dcterms:created>
  <dcterms:modified xsi:type="dcterms:W3CDTF">2024-06-17T15:33:00Z</dcterms:modified>
</cp:coreProperties>
</file>