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D8E" w:rsidRPr="007C77ED" w:rsidRDefault="00CA7D8E" w:rsidP="00CA7D8E">
      <w:pPr>
        <w:pBdr>
          <w:top w:val="single" w:sz="4" w:space="1" w:color="auto"/>
          <w:left w:val="single" w:sz="4" w:space="4" w:color="auto"/>
          <w:bottom w:val="single" w:sz="4" w:space="1" w:color="auto"/>
          <w:right w:val="single" w:sz="4" w:space="4" w:color="auto"/>
        </w:pBdr>
        <w:shd w:val="pct10" w:color="auto" w:fill="auto"/>
        <w:spacing w:after="0" w:line="240" w:lineRule="auto"/>
        <w:jc w:val="center"/>
        <w:rPr>
          <w:rFonts w:ascii="Arial" w:eastAsia="Times New Roman" w:hAnsi="Arial" w:cs="Arial"/>
          <w:b/>
          <w:sz w:val="26"/>
          <w:szCs w:val="20"/>
          <w:lang w:eastAsia="pt-BR"/>
        </w:rPr>
      </w:pPr>
      <w:bookmarkStart w:id="0" w:name="_GoBack"/>
      <w:bookmarkEnd w:id="0"/>
      <w:r w:rsidRPr="007C77ED">
        <w:rPr>
          <w:rFonts w:ascii="Arial" w:eastAsia="Times New Roman" w:hAnsi="Arial" w:cs="Arial"/>
          <w:b/>
          <w:sz w:val="26"/>
          <w:szCs w:val="20"/>
          <w:lang w:eastAsia="pt-BR"/>
        </w:rPr>
        <w:t xml:space="preserve">ESCLARECIMENTOS INICIAIS SOBRE A MINUTA DO TERMO DE REFERÊNCIA PARA A AQUISIÇÃO DE </w:t>
      </w:r>
      <w:r>
        <w:rPr>
          <w:rFonts w:ascii="Arial" w:eastAsia="Times New Roman" w:hAnsi="Arial" w:cs="Arial"/>
          <w:b/>
          <w:sz w:val="26"/>
          <w:szCs w:val="20"/>
          <w:lang w:eastAsia="pt-BR"/>
        </w:rPr>
        <w:t>MEDICAMENTOS</w:t>
      </w:r>
    </w:p>
    <w:p w:rsidR="00CA7D8E" w:rsidRPr="007C77ED" w:rsidRDefault="00CA7D8E" w:rsidP="00CA7D8E">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CA7D8E" w:rsidRPr="007C77ED" w:rsidRDefault="00CA7D8E" w:rsidP="00CA7D8E">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7C77ED">
        <w:rPr>
          <w:rFonts w:ascii="Arial" w:eastAsia="Times New Roman" w:hAnsi="Arial" w:cs="Arial"/>
          <w:sz w:val="26"/>
          <w:szCs w:val="20"/>
          <w:lang w:eastAsia="pt-BR"/>
        </w:rPr>
        <w:t xml:space="preserve">A minuta do termo de referência possui </w:t>
      </w:r>
      <w:r w:rsidRPr="007C77ED">
        <w:rPr>
          <w:rFonts w:ascii="Arial" w:eastAsia="Times New Roman" w:hAnsi="Arial" w:cs="Arial"/>
          <w:color w:val="FF0000"/>
          <w:sz w:val="26"/>
          <w:szCs w:val="20"/>
          <w:lang w:eastAsia="pt-BR"/>
        </w:rPr>
        <w:t>textos em vermelho</w:t>
      </w:r>
      <w:r w:rsidRPr="007C77ED">
        <w:rPr>
          <w:rFonts w:ascii="Arial" w:eastAsia="Times New Roman" w:hAnsi="Arial" w:cs="Arial"/>
          <w:sz w:val="26"/>
          <w:szCs w:val="20"/>
          <w:lang w:eastAsia="pt-BR"/>
        </w:rPr>
        <w:t xml:space="preserve"> e </w:t>
      </w:r>
      <w:r w:rsidRPr="007C77ED">
        <w:rPr>
          <w:rFonts w:ascii="Arial" w:eastAsia="Times New Roman" w:hAnsi="Arial" w:cs="Arial"/>
          <w:color w:val="FF0000"/>
          <w:sz w:val="26"/>
          <w:szCs w:val="20"/>
          <w:highlight w:val="yellow"/>
          <w:lang w:eastAsia="pt-BR"/>
        </w:rPr>
        <w:t>realces de texto em amarelo</w:t>
      </w:r>
      <w:r w:rsidRPr="007C77ED">
        <w:rPr>
          <w:rFonts w:ascii="Arial" w:eastAsia="Times New Roman" w:hAnsi="Arial" w:cs="Arial"/>
          <w:sz w:val="26"/>
          <w:szCs w:val="20"/>
          <w:lang w:eastAsia="pt-BR"/>
        </w:rPr>
        <w:t>. Nesses itens, deve o órgão ou entidade licitante ficar atento para a necessidade de preenchimento, supressão ou adequação, de acordo com o objeto da licitação e critério de oportunidade e conveniência da Administração.</w:t>
      </w:r>
    </w:p>
    <w:p w:rsidR="00CA7D8E" w:rsidRPr="007C77ED" w:rsidRDefault="00CA7D8E" w:rsidP="00CA7D8E">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CA7D8E" w:rsidRPr="007C77ED" w:rsidRDefault="00CA7D8E" w:rsidP="00CA7D8E">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7C77ED">
        <w:rPr>
          <w:rFonts w:ascii="Arial" w:eastAsia="Times New Roman" w:hAnsi="Arial" w:cs="Arial"/>
          <w:sz w:val="26"/>
          <w:szCs w:val="20"/>
          <w:highlight w:val="cyan"/>
          <w:lang w:eastAsia="pt-BR"/>
        </w:rPr>
        <w:t>Os textos com realce em azul aplicam-se nos casos de licitação para registro de preços, devendo ser mantidos se for utilizado o sistema de registro de preços</w:t>
      </w:r>
      <w:r w:rsidRPr="007C77ED">
        <w:rPr>
          <w:rFonts w:ascii="Arial" w:eastAsia="Times New Roman" w:hAnsi="Arial" w:cs="Arial"/>
          <w:sz w:val="26"/>
          <w:szCs w:val="20"/>
          <w:lang w:eastAsia="pt-BR"/>
        </w:rPr>
        <w:t xml:space="preserve">. Caso contrário, devem ser excluídas todas as disposições destacadas em azul. </w:t>
      </w:r>
    </w:p>
    <w:p w:rsidR="00CA7D8E" w:rsidRPr="007C77ED" w:rsidRDefault="00CA7D8E" w:rsidP="00CA7D8E">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CA7D8E" w:rsidRPr="007C77ED" w:rsidRDefault="00CA7D8E" w:rsidP="00CA7D8E">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7C77ED">
        <w:rPr>
          <w:rFonts w:ascii="Arial" w:eastAsia="Times New Roman" w:hAnsi="Arial" w:cs="Arial"/>
          <w:sz w:val="26"/>
          <w:szCs w:val="20"/>
          <w:lang w:eastAsia="pt-BR"/>
        </w:rPr>
        <w:t xml:space="preserve">Os </w:t>
      </w:r>
      <w:r w:rsidRPr="007C77ED">
        <w:rPr>
          <w:rFonts w:ascii="Arial" w:eastAsia="Times New Roman" w:hAnsi="Arial" w:cs="Arial"/>
          <w:b/>
          <w:sz w:val="26"/>
          <w:szCs w:val="20"/>
          <w:lang w:eastAsia="pt-BR"/>
        </w:rPr>
        <w:t>textos sem destaque</w:t>
      </w:r>
      <w:r w:rsidRPr="007C77ED">
        <w:rPr>
          <w:rFonts w:ascii="Arial" w:eastAsia="Times New Roman" w:hAnsi="Arial" w:cs="Arial"/>
          <w:sz w:val="26"/>
          <w:szCs w:val="20"/>
          <w:lang w:eastAsia="pt-BR"/>
        </w:rPr>
        <w:t xml:space="preserve"> são de </w:t>
      </w:r>
      <w:r w:rsidRPr="007C77ED">
        <w:rPr>
          <w:rFonts w:ascii="Arial" w:eastAsia="Times New Roman" w:hAnsi="Arial" w:cs="Arial"/>
          <w:b/>
          <w:sz w:val="26"/>
          <w:szCs w:val="20"/>
          <w:lang w:eastAsia="pt-BR"/>
        </w:rPr>
        <w:t>observância obrigatória</w:t>
      </w:r>
      <w:r w:rsidRPr="007C77ED">
        <w:rPr>
          <w:rFonts w:ascii="Arial" w:eastAsia="Times New Roman" w:hAnsi="Arial" w:cs="Arial"/>
          <w:sz w:val="26"/>
          <w:szCs w:val="20"/>
          <w:lang w:eastAsia="pt-BR"/>
        </w:rPr>
        <w:t xml:space="preserve"> em todos os editais.</w:t>
      </w:r>
    </w:p>
    <w:p w:rsidR="00CA7D8E" w:rsidRPr="007C77ED" w:rsidRDefault="00CA7D8E" w:rsidP="00CA7D8E">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CA7D8E" w:rsidRPr="007C77ED" w:rsidRDefault="00CA7D8E" w:rsidP="00CA7D8E">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7C77ED">
        <w:rPr>
          <w:rFonts w:ascii="Arial" w:eastAsia="Times New Roman" w:hAnsi="Arial" w:cs="Arial"/>
          <w:sz w:val="26"/>
          <w:szCs w:val="20"/>
          <w:lang w:eastAsia="pt-BR"/>
        </w:rPr>
        <w:t>Há inúmeras notas explicativas no decorrer do texto que têm o objetivo de facilitar o entendimento e nortear os responsáveis pela elaboração do TR, devendo ser retiradas do seu texto final.</w:t>
      </w:r>
    </w:p>
    <w:p w:rsidR="00CA7D8E" w:rsidRPr="007C77ED" w:rsidRDefault="00CA7D8E" w:rsidP="00CA7D8E">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CA7D8E" w:rsidRPr="007C77ED" w:rsidRDefault="00CA7D8E" w:rsidP="00CA7D8E">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7C77ED">
        <w:rPr>
          <w:rFonts w:ascii="Arial" w:eastAsia="Times New Roman" w:hAnsi="Arial" w:cs="Arial"/>
          <w:sz w:val="26"/>
          <w:szCs w:val="20"/>
          <w:lang w:eastAsia="pt-BR"/>
        </w:rPr>
        <w:t xml:space="preserve">Foram incluídas caixas de </w:t>
      </w:r>
      <w:r w:rsidRPr="007C77ED">
        <w:rPr>
          <w:rFonts w:ascii="Arial" w:eastAsia="Times New Roman" w:hAnsi="Arial" w:cs="Arial"/>
          <w:b/>
          <w:sz w:val="26"/>
          <w:szCs w:val="20"/>
          <w:lang w:eastAsia="pt-BR"/>
        </w:rPr>
        <w:t>orientações práticas</w:t>
      </w:r>
      <w:r w:rsidRPr="007C77ED">
        <w:rPr>
          <w:rFonts w:ascii="Arial" w:eastAsia="Times New Roman" w:hAnsi="Arial" w:cs="Arial"/>
          <w:sz w:val="26"/>
          <w:szCs w:val="20"/>
          <w:lang w:eastAsia="pt-BR"/>
        </w:rPr>
        <w:t xml:space="preserve"> com o intuito de facilitar a compreensão de cada um de seus elementos e auxiliar </w:t>
      </w:r>
      <w:proofErr w:type="gramStart"/>
      <w:r w:rsidRPr="007C77ED">
        <w:rPr>
          <w:rFonts w:ascii="Arial" w:eastAsia="Times New Roman" w:hAnsi="Arial" w:cs="Arial"/>
          <w:sz w:val="26"/>
          <w:szCs w:val="20"/>
          <w:lang w:eastAsia="pt-BR"/>
        </w:rPr>
        <w:t>o(</w:t>
      </w:r>
      <w:proofErr w:type="gramEnd"/>
      <w:r w:rsidRPr="007C77ED">
        <w:rPr>
          <w:rFonts w:ascii="Arial" w:eastAsia="Times New Roman" w:hAnsi="Arial" w:cs="Arial"/>
          <w:sz w:val="26"/>
          <w:szCs w:val="20"/>
          <w:lang w:eastAsia="pt-BR"/>
        </w:rPr>
        <w:t>s) elaborador(es) deste documento.</w:t>
      </w:r>
    </w:p>
    <w:p w:rsidR="00CA7D8E" w:rsidRPr="007C77ED" w:rsidRDefault="00CA7D8E" w:rsidP="00CA7D8E">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CA7D8E" w:rsidRPr="007C77ED" w:rsidRDefault="00CA7D8E" w:rsidP="00CA7D8E">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7C77ED">
        <w:rPr>
          <w:rFonts w:ascii="Arial" w:eastAsia="Times New Roman" w:hAnsi="Arial" w:cs="Arial"/>
          <w:sz w:val="26"/>
          <w:szCs w:val="20"/>
          <w:lang w:eastAsia="pt-BR"/>
        </w:rPr>
        <w:t>Convém esclarecer que a minuta foi elaborada de acordo com os elementos exigidos pelo art. 10 do Decreto Estadual 15.524/2020, procurando oferecer uma base jurídica-formal para a aquisição de bens.</w:t>
      </w:r>
    </w:p>
    <w:p w:rsidR="00CA7D8E" w:rsidRPr="007C77ED" w:rsidRDefault="00CA7D8E" w:rsidP="00CA7D8E">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CA7D8E" w:rsidRPr="007C77ED" w:rsidRDefault="00CA7D8E" w:rsidP="00CA7D8E">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7C77ED">
        <w:rPr>
          <w:rFonts w:ascii="Arial" w:eastAsia="Times New Roman" w:hAnsi="Arial" w:cs="Arial"/>
          <w:sz w:val="26"/>
          <w:szCs w:val="20"/>
          <w:lang w:eastAsia="pt-BR"/>
        </w:rPr>
        <w:t>Assim, a equipe de planejamento deverá incluir todas as informações técnicas e específicas para cada contratação, atentando-se para os elementos já construídos no Estudo Técnico Preliminar, conforme as diretrizes do Decreto Estadual 15.524/2020.</w:t>
      </w:r>
    </w:p>
    <w:p w:rsidR="00CA7D8E" w:rsidRPr="007C77ED" w:rsidRDefault="00CA7D8E" w:rsidP="00CA7D8E">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CA7D8E" w:rsidRPr="007C77ED" w:rsidRDefault="00CA7D8E" w:rsidP="00CA7D8E">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7C77ED">
        <w:rPr>
          <w:rFonts w:ascii="Arial" w:eastAsia="Times New Roman" w:hAnsi="Arial" w:cs="Arial"/>
          <w:sz w:val="26"/>
          <w:szCs w:val="20"/>
          <w:lang w:eastAsia="pt-BR"/>
        </w:rPr>
        <w:t>Caso seja necessária a realização de modificação em texto de observância obrigatória ou acréscimo de cláusulas e havendo necessidade de consulta ao órgão jurídico acerca dessas alterações, elas devem ser destacadas no texto e informada a alteração, juntamente com a sua justificativa e o apontamento da dúvida jurídica pertinente a cada uma delas.</w:t>
      </w:r>
    </w:p>
    <w:p w:rsidR="00CA7D8E" w:rsidRPr="007C77ED" w:rsidRDefault="00CA7D8E" w:rsidP="00CA7D8E">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CA7D8E" w:rsidRPr="007C77ED" w:rsidRDefault="00CA7D8E" w:rsidP="00CA7D8E">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7C77ED">
        <w:rPr>
          <w:rFonts w:ascii="Arial" w:eastAsia="Times New Roman" w:hAnsi="Arial" w:cs="Arial"/>
          <w:sz w:val="26"/>
          <w:szCs w:val="20"/>
          <w:lang w:eastAsia="pt-BR"/>
        </w:rPr>
        <w:t xml:space="preserve">Sugestões de alteração das minutas do TR, ata e contrato poderão ser encaminhadas ao e-mail: </w:t>
      </w:r>
      <w:r w:rsidRPr="007C77ED">
        <w:rPr>
          <w:rFonts w:ascii="Arial" w:eastAsia="Times New Roman" w:hAnsi="Arial" w:cs="Arial"/>
          <w:b/>
          <w:sz w:val="26"/>
          <w:szCs w:val="20"/>
          <w:lang w:eastAsia="pt-BR"/>
        </w:rPr>
        <w:t>asstecgab@pge.ms.gov.br</w:t>
      </w:r>
      <w:r w:rsidRPr="007C77ED">
        <w:rPr>
          <w:rFonts w:ascii="Arial" w:eastAsia="Times New Roman" w:hAnsi="Arial" w:cs="Arial"/>
          <w:sz w:val="26"/>
          <w:szCs w:val="20"/>
          <w:lang w:eastAsia="pt-BR"/>
        </w:rPr>
        <w:t>.</w:t>
      </w:r>
    </w:p>
    <w:p w:rsidR="00CA7D8E" w:rsidRDefault="00CA7D8E" w:rsidP="00CA7D8E">
      <w:pPr>
        <w:spacing w:after="0" w:line="240" w:lineRule="auto"/>
        <w:jc w:val="center"/>
        <w:rPr>
          <w:rFonts w:ascii="Arial" w:hAnsi="Arial" w:cs="Arial"/>
          <w:b/>
          <w:color w:val="000000"/>
          <w:sz w:val="20"/>
          <w:szCs w:val="20"/>
        </w:rPr>
      </w:pPr>
    </w:p>
    <w:p w:rsidR="00CA7D8E" w:rsidRDefault="00CA7D8E" w:rsidP="00CA7D8E">
      <w:pPr>
        <w:spacing w:after="0" w:line="240" w:lineRule="auto"/>
        <w:jc w:val="center"/>
        <w:rPr>
          <w:rFonts w:ascii="Arial" w:hAnsi="Arial" w:cs="Arial"/>
          <w:b/>
          <w:color w:val="000000"/>
          <w:sz w:val="20"/>
          <w:szCs w:val="20"/>
        </w:rPr>
      </w:pPr>
    </w:p>
    <w:p w:rsidR="00CA7D8E" w:rsidRDefault="00CA7D8E" w:rsidP="00CA7D8E">
      <w:pPr>
        <w:spacing w:after="0" w:line="240" w:lineRule="auto"/>
        <w:jc w:val="center"/>
        <w:rPr>
          <w:rFonts w:ascii="Arial" w:hAnsi="Arial" w:cs="Arial"/>
          <w:b/>
          <w:color w:val="000000"/>
          <w:sz w:val="20"/>
          <w:szCs w:val="20"/>
        </w:rPr>
      </w:pPr>
    </w:p>
    <w:p w:rsidR="00CA7D8E" w:rsidRDefault="00CA7D8E" w:rsidP="00CA7D8E">
      <w:pPr>
        <w:spacing w:after="0" w:line="240" w:lineRule="auto"/>
        <w:jc w:val="center"/>
        <w:rPr>
          <w:rFonts w:ascii="Arial" w:hAnsi="Arial" w:cs="Arial"/>
          <w:b/>
          <w:color w:val="000000"/>
          <w:sz w:val="20"/>
          <w:szCs w:val="20"/>
        </w:rPr>
      </w:pPr>
    </w:p>
    <w:p w:rsidR="006F719E" w:rsidRDefault="006F719E" w:rsidP="00CA7D8E">
      <w:pPr>
        <w:spacing w:after="0" w:line="240" w:lineRule="auto"/>
        <w:jc w:val="center"/>
        <w:rPr>
          <w:rFonts w:ascii="Arial" w:hAnsi="Arial" w:cs="Arial"/>
          <w:b/>
          <w:color w:val="000000"/>
          <w:sz w:val="20"/>
          <w:szCs w:val="20"/>
        </w:rPr>
      </w:pPr>
    </w:p>
    <w:p w:rsidR="00CA7D8E" w:rsidRPr="007C77ED" w:rsidRDefault="00CA7D8E" w:rsidP="00CA7D8E">
      <w:pPr>
        <w:spacing w:after="0" w:line="240" w:lineRule="auto"/>
        <w:jc w:val="center"/>
        <w:rPr>
          <w:rFonts w:ascii="Arial" w:hAnsi="Arial" w:cs="Arial"/>
          <w:b/>
          <w:sz w:val="20"/>
          <w:szCs w:val="20"/>
        </w:rPr>
      </w:pPr>
      <w:r w:rsidRPr="007C77ED">
        <w:rPr>
          <w:rFonts w:ascii="Arial" w:hAnsi="Arial" w:cs="Arial"/>
          <w:b/>
          <w:color w:val="000000"/>
          <w:sz w:val="20"/>
          <w:szCs w:val="20"/>
        </w:rPr>
        <w:lastRenderedPageBreak/>
        <w:t xml:space="preserve">TERMO DE </w:t>
      </w:r>
      <w:r w:rsidRPr="007C77ED">
        <w:rPr>
          <w:rFonts w:ascii="Arial" w:hAnsi="Arial" w:cs="Arial"/>
          <w:b/>
          <w:sz w:val="20"/>
          <w:szCs w:val="20"/>
        </w:rPr>
        <w:t>REFERÊNCIA DE MEDICAMENTOS</w:t>
      </w:r>
    </w:p>
    <w:p w:rsidR="00CA7D8E" w:rsidRPr="007C77ED" w:rsidRDefault="00CA7D8E" w:rsidP="00CA7D8E">
      <w:pPr>
        <w:spacing w:after="0" w:line="240" w:lineRule="auto"/>
        <w:jc w:val="center"/>
        <w:rPr>
          <w:rFonts w:ascii="Arial" w:hAnsi="Arial" w:cs="Arial"/>
          <w:b/>
          <w:sz w:val="20"/>
          <w:szCs w:val="20"/>
        </w:rPr>
      </w:pPr>
    </w:p>
    <w:p w:rsidR="00CA7D8E" w:rsidRPr="007C77ED" w:rsidRDefault="00CA7D8E" w:rsidP="00CA7D8E">
      <w:pPr>
        <w:spacing w:after="0" w:line="240" w:lineRule="auto"/>
        <w:jc w:val="center"/>
        <w:rPr>
          <w:rFonts w:ascii="Arial" w:hAnsi="Arial" w:cs="Arial"/>
          <w:b/>
          <w:color w:val="000000"/>
          <w:sz w:val="20"/>
          <w:szCs w:val="20"/>
        </w:rPr>
      </w:pPr>
    </w:p>
    <w:p w:rsidR="00CA7D8E" w:rsidRPr="007C77ED" w:rsidRDefault="00CA7D8E" w:rsidP="00CA7D8E">
      <w:pPr>
        <w:spacing w:after="0" w:line="240" w:lineRule="auto"/>
        <w:jc w:val="both"/>
        <w:rPr>
          <w:rFonts w:ascii="Arial" w:hAnsi="Arial" w:cs="Arial"/>
          <w:sz w:val="20"/>
          <w:szCs w:val="20"/>
        </w:rPr>
      </w:pPr>
      <w:r w:rsidRPr="007C77ED">
        <w:rPr>
          <w:rFonts w:ascii="Arial" w:hAnsi="Arial" w:cs="Arial"/>
          <w:b/>
          <w:color w:val="000000"/>
          <w:sz w:val="20"/>
          <w:szCs w:val="20"/>
        </w:rPr>
        <w:t>1.</w:t>
      </w:r>
      <w:r w:rsidRPr="007C77ED">
        <w:rPr>
          <w:rFonts w:ascii="Arial" w:hAnsi="Arial" w:cs="Arial"/>
          <w:color w:val="000000"/>
          <w:sz w:val="20"/>
          <w:szCs w:val="20"/>
        </w:rPr>
        <w:t xml:space="preserve"> </w:t>
      </w:r>
      <w:r w:rsidRPr="007C77ED">
        <w:rPr>
          <w:rFonts w:ascii="Arial" w:hAnsi="Arial" w:cs="Arial"/>
          <w:b/>
          <w:color w:val="000000"/>
          <w:sz w:val="20"/>
          <w:szCs w:val="20"/>
        </w:rPr>
        <w:t xml:space="preserve">DO OBJETO </w:t>
      </w:r>
      <w:r w:rsidRPr="007C77ED">
        <w:rPr>
          <w:rFonts w:ascii="Arial" w:hAnsi="Arial" w:cs="Arial"/>
          <w:color w:val="000000"/>
          <w:sz w:val="20"/>
          <w:szCs w:val="20"/>
        </w:rPr>
        <w:t xml:space="preserve">      </w:t>
      </w:r>
    </w:p>
    <w:p w:rsidR="00CA7D8E" w:rsidRPr="007C77ED" w:rsidRDefault="00CA7D8E" w:rsidP="00CA7D8E">
      <w:pPr>
        <w:spacing w:after="0" w:line="240" w:lineRule="auto"/>
        <w:jc w:val="both"/>
        <w:rPr>
          <w:rFonts w:ascii="Arial" w:hAnsi="Arial" w:cs="Arial"/>
          <w:b/>
          <w:color w:val="000000"/>
          <w:sz w:val="20"/>
          <w:szCs w:val="20"/>
        </w:rPr>
      </w:pPr>
    </w:p>
    <w:p w:rsidR="00CA7D8E" w:rsidRPr="007C77ED" w:rsidRDefault="00CA7D8E" w:rsidP="00CA7D8E">
      <w:pPr>
        <w:spacing w:after="0" w:line="240" w:lineRule="auto"/>
        <w:jc w:val="both"/>
        <w:rPr>
          <w:rFonts w:ascii="Arial" w:hAnsi="Arial" w:cs="Arial"/>
          <w:color w:val="000000"/>
          <w:sz w:val="20"/>
          <w:szCs w:val="20"/>
        </w:rPr>
      </w:pPr>
      <w:r w:rsidRPr="007C77ED">
        <w:rPr>
          <w:rFonts w:ascii="Arial" w:hAnsi="Arial" w:cs="Arial"/>
          <w:b/>
          <w:color w:val="000000"/>
          <w:sz w:val="20"/>
          <w:szCs w:val="20"/>
        </w:rPr>
        <w:t>1.1.</w:t>
      </w:r>
      <w:r w:rsidRPr="007C77ED">
        <w:rPr>
          <w:rFonts w:ascii="Arial" w:hAnsi="Arial" w:cs="Arial"/>
          <w:color w:val="000000"/>
          <w:sz w:val="20"/>
          <w:szCs w:val="20"/>
        </w:rPr>
        <w:t xml:space="preserve"> Aquisição de Medicamentos para atender a demanda do </w:t>
      </w:r>
      <w:r w:rsidRPr="007C77ED">
        <w:rPr>
          <w:rFonts w:ascii="Arial" w:hAnsi="Arial" w:cs="Arial"/>
          <w:color w:val="FF0000"/>
          <w:sz w:val="20"/>
          <w:szCs w:val="20"/>
          <w:highlight w:val="yellow"/>
        </w:rPr>
        <w:t>(nome do órgão)</w:t>
      </w:r>
      <w:r w:rsidRPr="007C77ED">
        <w:rPr>
          <w:rFonts w:ascii="Arial" w:hAnsi="Arial" w:cs="Arial"/>
          <w:color w:val="000000"/>
          <w:sz w:val="20"/>
          <w:szCs w:val="20"/>
        </w:rPr>
        <w:t xml:space="preserve">, conforme condições, quantidades, especificações e exigências estabelecidas neste instrumento;      </w:t>
      </w:r>
    </w:p>
    <w:p w:rsidR="00CA7D8E" w:rsidRPr="007C77ED" w:rsidRDefault="00CA7D8E" w:rsidP="00CA7D8E">
      <w:pPr>
        <w:spacing w:after="0" w:line="240" w:lineRule="auto"/>
        <w:jc w:val="both"/>
        <w:rPr>
          <w:rFonts w:ascii="Arial" w:hAnsi="Arial" w:cs="Arial"/>
          <w:b/>
          <w:color w:val="000000"/>
          <w:sz w:val="20"/>
          <w:szCs w:val="20"/>
        </w:rPr>
      </w:pPr>
    </w:p>
    <w:p w:rsidR="00CA7D8E" w:rsidRPr="007C77ED" w:rsidRDefault="00CA7D8E" w:rsidP="00CA7D8E">
      <w:pPr>
        <w:spacing w:after="0" w:line="240" w:lineRule="auto"/>
        <w:jc w:val="both"/>
        <w:rPr>
          <w:rFonts w:ascii="Arial" w:hAnsi="Arial" w:cs="Arial"/>
          <w:color w:val="000000"/>
          <w:sz w:val="20"/>
          <w:szCs w:val="20"/>
        </w:rPr>
      </w:pPr>
      <w:r w:rsidRPr="007C77ED">
        <w:rPr>
          <w:rFonts w:ascii="Arial" w:hAnsi="Arial" w:cs="Arial"/>
          <w:b/>
          <w:color w:val="000000"/>
          <w:sz w:val="20"/>
          <w:szCs w:val="20"/>
        </w:rPr>
        <w:t>1.2.</w:t>
      </w:r>
      <w:r w:rsidRPr="007C77ED">
        <w:rPr>
          <w:rFonts w:ascii="Arial" w:hAnsi="Arial" w:cs="Arial"/>
          <w:color w:val="000000"/>
          <w:sz w:val="20"/>
          <w:szCs w:val="20"/>
        </w:rPr>
        <w:t xml:space="preserve"> </w:t>
      </w:r>
      <w:proofErr w:type="gramStart"/>
      <w:r w:rsidRPr="007C77ED">
        <w:rPr>
          <w:rFonts w:ascii="Arial" w:hAnsi="Arial" w:cs="Arial"/>
          <w:color w:val="000000"/>
          <w:sz w:val="20"/>
          <w:szCs w:val="20"/>
        </w:rPr>
        <w:t>O(</w:t>
      </w:r>
      <w:proofErr w:type="gramEnd"/>
      <w:r w:rsidRPr="007C77ED">
        <w:rPr>
          <w:rFonts w:ascii="Arial" w:hAnsi="Arial" w:cs="Arial"/>
          <w:color w:val="000000"/>
          <w:sz w:val="20"/>
          <w:szCs w:val="20"/>
        </w:rPr>
        <w:t>s) medicamento(s) a ser(em) ofertado(s) pelas licitantes deve(m) observar as seguintes características e especificações:</w:t>
      </w:r>
    </w:p>
    <w:p w:rsidR="00CA7D8E" w:rsidRPr="007C77ED" w:rsidRDefault="00CA7D8E" w:rsidP="00CA7D8E">
      <w:pPr>
        <w:spacing w:after="0" w:line="240" w:lineRule="auto"/>
        <w:jc w:val="both"/>
        <w:rPr>
          <w:rFonts w:ascii="Arial" w:hAnsi="Arial" w:cs="Arial"/>
          <w:color w:val="000000"/>
          <w:sz w:val="20"/>
          <w:szCs w:val="20"/>
        </w:rPr>
      </w:pP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b/>
          <w:sz w:val="20"/>
          <w:szCs w:val="20"/>
        </w:rPr>
      </w:pPr>
      <w:r w:rsidRPr="007C77ED">
        <w:rPr>
          <w:rFonts w:ascii="Arial" w:hAnsi="Arial" w:cs="Arial"/>
          <w:b/>
          <w:sz w:val="20"/>
          <w:szCs w:val="20"/>
        </w:rPr>
        <w:t>Orientações práticas:</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sz w:val="20"/>
          <w:szCs w:val="20"/>
        </w:rPr>
        <w:t>Todas as especificações técnicas necessárias, os respectivos métodos de controle de qualidade e a sistemática de certificação de conformidade deverão constar neste campo, de forma detalhada, para garantir a qualidade da contração (art. 3º, § 3º da Lei Federal nº 9.787/1999).</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sz w:val="20"/>
          <w:szCs w:val="20"/>
        </w:rPr>
        <w:t>Recomenda-se que na especificação do medicamento, dentre outras, conste as seguintes informações:</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sz w:val="20"/>
          <w:szCs w:val="20"/>
        </w:rPr>
        <w:t>- Código BR (presente no catálogo de materiais do COMPRASNET e BPS)</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sz w:val="20"/>
          <w:szCs w:val="20"/>
        </w:rPr>
        <w:t>- Substância ativa ou nome genérico</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sz w:val="20"/>
          <w:szCs w:val="20"/>
        </w:rPr>
        <w:t>- Forma de apresentação (</w:t>
      </w:r>
      <w:proofErr w:type="spellStart"/>
      <w:r w:rsidRPr="007C77ED">
        <w:rPr>
          <w:rFonts w:ascii="Arial" w:hAnsi="Arial" w:cs="Arial"/>
          <w:sz w:val="20"/>
          <w:szCs w:val="20"/>
        </w:rPr>
        <w:t>Ex</w:t>
      </w:r>
      <w:proofErr w:type="spellEnd"/>
      <w:r w:rsidRPr="007C77ED">
        <w:rPr>
          <w:rFonts w:ascii="Arial" w:hAnsi="Arial" w:cs="Arial"/>
          <w:sz w:val="20"/>
          <w:szCs w:val="20"/>
        </w:rPr>
        <w:t xml:space="preserve">: drágeas, cápsulas, comprimidos, injetável, </w:t>
      </w:r>
      <w:proofErr w:type="spellStart"/>
      <w:r w:rsidRPr="007C77ED">
        <w:rPr>
          <w:rFonts w:ascii="Arial" w:hAnsi="Arial" w:cs="Arial"/>
          <w:sz w:val="20"/>
          <w:szCs w:val="20"/>
        </w:rPr>
        <w:t>etc</w:t>
      </w:r>
      <w:proofErr w:type="spellEnd"/>
      <w:r w:rsidRPr="007C77ED">
        <w:rPr>
          <w:rFonts w:ascii="Arial" w:hAnsi="Arial" w:cs="Arial"/>
          <w:sz w:val="20"/>
          <w:szCs w:val="20"/>
        </w:rPr>
        <w:t>)</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sz w:val="20"/>
          <w:szCs w:val="20"/>
        </w:rPr>
        <w:t>- Concentração (</w:t>
      </w:r>
      <w:proofErr w:type="spellStart"/>
      <w:r w:rsidRPr="007C77ED">
        <w:rPr>
          <w:rFonts w:ascii="Arial" w:hAnsi="Arial" w:cs="Arial"/>
          <w:sz w:val="20"/>
          <w:szCs w:val="20"/>
        </w:rPr>
        <w:t>Ex</w:t>
      </w:r>
      <w:proofErr w:type="spellEnd"/>
      <w:r w:rsidRPr="007C77ED">
        <w:rPr>
          <w:rFonts w:ascii="Arial" w:hAnsi="Arial" w:cs="Arial"/>
          <w:sz w:val="20"/>
          <w:szCs w:val="20"/>
        </w:rPr>
        <w:t xml:space="preserve">: comprimido 200mg; injetável (solução) 30 mg/5ml) </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sz w:val="20"/>
          <w:szCs w:val="20"/>
        </w:rPr>
        <w:t xml:space="preserve">- A Denominação Comum Brasileira (DCB) ou, na sua falta, a Denominação Comum Internacional (DCI), conforme determina o art. 3º, </w:t>
      </w:r>
      <w:r w:rsidRPr="007C77ED">
        <w:rPr>
          <w:rFonts w:ascii="Arial" w:hAnsi="Arial" w:cs="Arial"/>
          <w:i/>
          <w:iCs/>
          <w:sz w:val="20"/>
          <w:szCs w:val="20"/>
        </w:rPr>
        <w:t>caput</w:t>
      </w:r>
      <w:r w:rsidRPr="007C77ED">
        <w:rPr>
          <w:rFonts w:ascii="Arial" w:hAnsi="Arial" w:cs="Arial"/>
          <w:sz w:val="20"/>
          <w:szCs w:val="20"/>
        </w:rPr>
        <w:t xml:space="preserve"> da Lei n. 9.787/1999.</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b/>
          <w:sz w:val="20"/>
          <w:szCs w:val="20"/>
        </w:rPr>
        <w:t>Exigências complementares:</w:t>
      </w:r>
      <w:r w:rsidRPr="007C77ED">
        <w:rPr>
          <w:rFonts w:ascii="Arial" w:hAnsi="Arial" w:cs="Arial"/>
          <w:sz w:val="20"/>
          <w:szCs w:val="20"/>
        </w:rPr>
        <w:t xml:space="preserve"> Caso a equipe de planejamento necessite inserir outras especificações técnicas (além daquelas indicadas anteriormente), poderá utilizar de subitens (</w:t>
      </w:r>
      <w:r w:rsidRPr="007C77ED">
        <w:rPr>
          <w:rFonts w:ascii="Arial" w:hAnsi="Arial" w:cs="Arial"/>
          <w:i/>
          <w:sz w:val="20"/>
          <w:szCs w:val="20"/>
        </w:rPr>
        <w:t>1.2.1, 1.2.2</w:t>
      </w:r>
      <w:r w:rsidRPr="007C77ED">
        <w:rPr>
          <w:rFonts w:ascii="Arial" w:hAnsi="Arial" w:cs="Arial"/>
          <w:sz w:val="20"/>
          <w:szCs w:val="20"/>
        </w:rPr>
        <w:t xml:space="preserve">, </w:t>
      </w:r>
      <w:proofErr w:type="spellStart"/>
      <w:r w:rsidRPr="007C77ED">
        <w:rPr>
          <w:rFonts w:ascii="Arial" w:hAnsi="Arial" w:cs="Arial"/>
          <w:sz w:val="20"/>
          <w:szCs w:val="20"/>
        </w:rPr>
        <w:t>etc</w:t>
      </w:r>
      <w:proofErr w:type="spellEnd"/>
      <w:r w:rsidRPr="007C77ED">
        <w:rPr>
          <w:rFonts w:ascii="Arial" w:hAnsi="Arial" w:cs="Arial"/>
          <w:sz w:val="20"/>
          <w:szCs w:val="20"/>
        </w:rPr>
        <w:t>) para incluir essas informações.</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b/>
          <w:sz w:val="20"/>
          <w:szCs w:val="20"/>
        </w:rPr>
        <w:t>Indicação de marca</w:t>
      </w:r>
      <w:r w:rsidRPr="007C77ED">
        <w:rPr>
          <w:rFonts w:ascii="Arial" w:hAnsi="Arial" w:cs="Arial"/>
          <w:sz w:val="20"/>
          <w:szCs w:val="20"/>
        </w:rPr>
        <w:t>: Quando imprescindível a aquisição de marca específica o art. 7º do Decreto Estadual 15.524/2020 exige que a equipe de planejamento apresente no estudo técnico preliminar (ETP) a justificativa para essa solução, com parâmetro em uma das hipóteses do inciso I do mesmo dispositivo legal. Em sendo dispensada a elaboração do ETP, essa mesma justificativa deverá constar no Termo de Referência.</w:t>
      </w:r>
    </w:p>
    <w:tbl>
      <w:tblPr>
        <w:tblW w:w="0" w:type="auto"/>
        <w:jc w:val="center"/>
        <w:tblCellSpacing w:w="0" w:type="auto"/>
        <w:tblLook w:val="04A0" w:firstRow="1" w:lastRow="0" w:firstColumn="1" w:lastColumn="0" w:noHBand="0" w:noVBand="1"/>
      </w:tblPr>
      <w:tblGrid>
        <w:gridCol w:w="626"/>
        <w:gridCol w:w="626"/>
        <w:gridCol w:w="1245"/>
        <w:gridCol w:w="2521"/>
        <w:gridCol w:w="1426"/>
        <w:gridCol w:w="765"/>
      </w:tblGrid>
      <w:tr w:rsidR="00CA7D8E" w:rsidRPr="007C77ED" w:rsidTr="00EC4BC1">
        <w:trPr>
          <w:tblCellSpacing w:w="0" w:type="auto"/>
          <w:jc w:val="center"/>
        </w:trPr>
        <w:tc>
          <w:tcPr>
            <w:tcW w:w="0" w:type="auto"/>
            <w:gridSpan w:val="6"/>
            <w:tcBorders>
              <w:top w:val="single" w:sz="8" w:space="0" w:color="777777"/>
              <w:left w:val="single" w:sz="8" w:space="0" w:color="777777"/>
              <w:bottom w:val="single" w:sz="8" w:space="0" w:color="777777"/>
              <w:right w:val="single" w:sz="8" w:space="0" w:color="777777"/>
            </w:tcBorders>
          </w:tcPr>
          <w:p w:rsidR="00CA7D8E" w:rsidRPr="007C77ED" w:rsidRDefault="00CA7D8E" w:rsidP="00EC4BC1">
            <w:pPr>
              <w:spacing w:after="0" w:line="240" w:lineRule="auto"/>
              <w:jc w:val="center"/>
              <w:rPr>
                <w:rFonts w:ascii="Arial" w:hAnsi="Arial" w:cs="Arial"/>
                <w:sz w:val="20"/>
                <w:szCs w:val="20"/>
              </w:rPr>
            </w:pPr>
            <w:r w:rsidRPr="007C77ED">
              <w:rPr>
                <w:rFonts w:ascii="Arial" w:hAnsi="Arial" w:cs="Arial"/>
                <w:color w:val="000000"/>
                <w:sz w:val="20"/>
                <w:szCs w:val="20"/>
              </w:rPr>
              <w:t>Itens</w:t>
            </w:r>
          </w:p>
        </w:tc>
      </w:tr>
      <w:tr w:rsidR="00CA7D8E" w:rsidRPr="007C77ED" w:rsidTr="00EC4BC1">
        <w:trPr>
          <w:tblCellSpacing w:w="0" w:type="auto"/>
          <w:jc w:val="center"/>
        </w:trPr>
        <w:tc>
          <w:tcPr>
            <w:tcW w:w="626" w:type="dxa"/>
            <w:tcBorders>
              <w:top w:val="single" w:sz="8" w:space="0" w:color="777777"/>
              <w:left w:val="single" w:sz="8" w:space="0" w:color="777777"/>
              <w:bottom w:val="single" w:sz="8" w:space="0" w:color="777777"/>
              <w:right w:val="single" w:sz="8" w:space="0" w:color="777777"/>
            </w:tcBorders>
          </w:tcPr>
          <w:p w:rsidR="00CA7D8E" w:rsidRPr="007C77ED" w:rsidRDefault="00CA7D8E" w:rsidP="00EC4BC1">
            <w:pPr>
              <w:spacing w:after="0" w:line="240" w:lineRule="auto"/>
              <w:jc w:val="both"/>
              <w:rPr>
                <w:rFonts w:ascii="Arial" w:hAnsi="Arial" w:cs="Arial"/>
                <w:sz w:val="20"/>
                <w:szCs w:val="20"/>
              </w:rPr>
            </w:pPr>
            <w:r w:rsidRPr="007C77ED">
              <w:rPr>
                <w:rFonts w:ascii="Arial" w:hAnsi="Arial" w:cs="Arial"/>
                <w:color w:val="000000"/>
                <w:sz w:val="20"/>
                <w:szCs w:val="20"/>
              </w:rPr>
              <w:t>Tipo</w:t>
            </w:r>
          </w:p>
        </w:tc>
        <w:tc>
          <w:tcPr>
            <w:tcW w:w="626" w:type="dxa"/>
            <w:tcBorders>
              <w:top w:val="single" w:sz="8" w:space="0" w:color="777777"/>
              <w:left w:val="single" w:sz="8" w:space="0" w:color="777777"/>
              <w:bottom w:val="single" w:sz="8" w:space="0" w:color="777777"/>
              <w:right w:val="single" w:sz="8" w:space="0" w:color="777777"/>
            </w:tcBorders>
          </w:tcPr>
          <w:p w:rsidR="00CA7D8E" w:rsidRPr="007C77ED" w:rsidRDefault="00CA7D8E" w:rsidP="00EC4BC1">
            <w:pPr>
              <w:spacing w:after="0" w:line="240" w:lineRule="auto"/>
              <w:jc w:val="both"/>
              <w:rPr>
                <w:rFonts w:ascii="Arial" w:hAnsi="Arial" w:cs="Arial"/>
                <w:sz w:val="20"/>
                <w:szCs w:val="20"/>
              </w:rPr>
            </w:pPr>
            <w:r w:rsidRPr="007C77ED">
              <w:rPr>
                <w:rFonts w:ascii="Arial" w:hAnsi="Arial" w:cs="Arial"/>
                <w:color w:val="000000"/>
                <w:sz w:val="20"/>
                <w:szCs w:val="20"/>
              </w:rPr>
              <w:t>Item</w:t>
            </w:r>
          </w:p>
        </w:tc>
        <w:tc>
          <w:tcPr>
            <w:tcW w:w="1245" w:type="dxa"/>
            <w:tcBorders>
              <w:top w:val="single" w:sz="8" w:space="0" w:color="777777"/>
              <w:left w:val="single" w:sz="8" w:space="0" w:color="777777"/>
              <w:bottom w:val="single" w:sz="8" w:space="0" w:color="777777"/>
              <w:right w:val="single" w:sz="8" w:space="0" w:color="777777"/>
            </w:tcBorders>
          </w:tcPr>
          <w:p w:rsidR="00CA7D8E" w:rsidRPr="007C77ED" w:rsidRDefault="00CA7D8E" w:rsidP="00EC4BC1">
            <w:pPr>
              <w:spacing w:after="0" w:line="240" w:lineRule="auto"/>
              <w:jc w:val="both"/>
              <w:rPr>
                <w:rFonts w:ascii="Arial" w:hAnsi="Arial" w:cs="Arial"/>
                <w:sz w:val="20"/>
                <w:szCs w:val="20"/>
              </w:rPr>
            </w:pPr>
            <w:r w:rsidRPr="007C77ED">
              <w:rPr>
                <w:rFonts w:ascii="Arial" w:hAnsi="Arial" w:cs="Arial"/>
                <w:color w:val="000000"/>
                <w:sz w:val="20"/>
                <w:szCs w:val="20"/>
              </w:rPr>
              <w:t>Código GMS</w:t>
            </w:r>
          </w:p>
        </w:tc>
        <w:tc>
          <w:tcPr>
            <w:tcW w:w="2521" w:type="dxa"/>
            <w:tcBorders>
              <w:top w:val="single" w:sz="8" w:space="0" w:color="777777"/>
              <w:left w:val="single" w:sz="8" w:space="0" w:color="777777"/>
              <w:bottom w:val="single" w:sz="8" w:space="0" w:color="777777"/>
              <w:right w:val="single" w:sz="8" w:space="0" w:color="777777"/>
            </w:tcBorders>
          </w:tcPr>
          <w:p w:rsidR="00CA7D8E" w:rsidRPr="007C77ED" w:rsidRDefault="00CA7D8E" w:rsidP="00EC4BC1">
            <w:pPr>
              <w:spacing w:after="0" w:line="240" w:lineRule="auto"/>
              <w:jc w:val="both"/>
              <w:rPr>
                <w:rFonts w:ascii="Arial" w:hAnsi="Arial" w:cs="Arial"/>
                <w:sz w:val="20"/>
                <w:szCs w:val="20"/>
              </w:rPr>
            </w:pPr>
            <w:r w:rsidRPr="007C77ED">
              <w:rPr>
                <w:rFonts w:ascii="Arial" w:hAnsi="Arial" w:cs="Arial"/>
                <w:color w:val="000000"/>
                <w:sz w:val="20"/>
                <w:szCs w:val="20"/>
              </w:rPr>
              <w:t>Descrição</w:t>
            </w:r>
          </w:p>
        </w:tc>
        <w:tc>
          <w:tcPr>
            <w:tcW w:w="1426" w:type="dxa"/>
            <w:tcBorders>
              <w:top w:val="single" w:sz="8" w:space="0" w:color="777777"/>
              <w:left w:val="single" w:sz="8" w:space="0" w:color="777777"/>
              <w:bottom w:val="single" w:sz="8" w:space="0" w:color="777777"/>
              <w:right w:val="single" w:sz="8" w:space="0" w:color="777777"/>
            </w:tcBorders>
          </w:tcPr>
          <w:p w:rsidR="00CA7D8E" w:rsidRPr="007C77ED" w:rsidRDefault="00CA7D8E" w:rsidP="00EC4BC1">
            <w:pPr>
              <w:spacing w:after="0" w:line="240" w:lineRule="auto"/>
              <w:jc w:val="both"/>
              <w:rPr>
                <w:rFonts w:ascii="Arial" w:hAnsi="Arial" w:cs="Arial"/>
                <w:sz w:val="20"/>
                <w:szCs w:val="20"/>
              </w:rPr>
            </w:pPr>
            <w:r w:rsidRPr="007C77ED">
              <w:rPr>
                <w:rFonts w:ascii="Arial" w:hAnsi="Arial" w:cs="Arial"/>
                <w:color w:val="000000"/>
                <w:sz w:val="20"/>
                <w:szCs w:val="20"/>
              </w:rPr>
              <w:t>Un. Aquisição</w:t>
            </w:r>
          </w:p>
        </w:tc>
        <w:tc>
          <w:tcPr>
            <w:tcW w:w="765" w:type="dxa"/>
            <w:tcBorders>
              <w:top w:val="single" w:sz="8" w:space="0" w:color="777777"/>
              <w:left w:val="single" w:sz="8" w:space="0" w:color="777777"/>
              <w:bottom w:val="single" w:sz="8" w:space="0" w:color="777777"/>
              <w:right w:val="single" w:sz="8" w:space="0" w:color="777777"/>
            </w:tcBorders>
          </w:tcPr>
          <w:p w:rsidR="00CA7D8E" w:rsidRPr="007C77ED" w:rsidRDefault="00CA7D8E" w:rsidP="00EC4BC1">
            <w:pPr>
              <w:spacing w:after="0" w:line="240" w:lineRule="auto"/>
              <w:jc w:val="both"/>
              <w:rPr>
                <w:rFonts w:ascii="Arial" w:hAnsi="Arial" w:cs="Arial"/>
                <w:sz w:val="20"/>
                <w:szCs w:val="20"/>
              </w:rPr>
            </w:pPr>
            <w:proofErr w:type="spellStart"/>
            <w:r w:rsidRPr="007C77ED">
              <w:rPr>
                <w:rFonts w:ascii="Arial" w:hAnsi="Arial" w:cs="Arial"/>
                <w:color w:val="000000"/>
                <w:sz w:val="20"/>
                <w:szCs w:val="20"/>
              </w:rPr>
              <w:t>Qtd</w:t>
            </w:r>
            <w:proofErr w:type="spellEnd"/>
            <w:r w:rsidRPr="007C77ED">
              <w:rPr>
                <w:rFonts w:ascii="Arial" w:hAnsi="Arial" w:cs="Arial"/>
                <w:color w:val="000000"/>
                <w:sz w:val="20"/>
                <w:szCs w:val="20"/>
              </w:rPr>
              <w:t>.</w:t>
            </w:r>
          </w:p>
        </w:tc>
      </w:tr>
      <w:tr w:rsidR="00CA7D8E" w:rsidRPr="007C77ED" w:rsidTr="00EC4BC1">
        <w:trPr>
          <w:tblCellSpacing w:w="0" w:type="auto"/>
          <w:jc w:val="center"/>
        </w:trPr>
        <w:tc>
          <w:tcPr>
            <w:tcW w:w="626" w:type="dxa"/>
            <w:tcBorders>
              <w:top w:val="single" w:sz="8" w:space="0" w:color="777777"/>
              <w:left w:val="single" w:sz="8" w:space="0" w:color="777777"/>
              <w:bottom w:val="single" w:sz="8" w:space="0" w:color="777777"/>
              <w:right w:val="single" w:sz="8" w:space="0" w:color="777777"/>
            </w:tcBorders>
          </w:tcPr>
          <w:p w:rsidR="00CA7D8E" w:rsidRPr="007C77ED" w:rsidRDefault="00CA7D8E" w:rsidP="00EC4BC1">
            <w:pPr>
              <w:spacing w:after="0" w:line="240" w:lineRule="auto"/>
              <w:jc w:val="center"/>
              <w:rPr>
                <w:rFonts w:ascii="Arial" w:hAnsi="Arial" w:cs="Arial"/>
                <w:color w:val="FF0000"/>
                <w:sz w:val="20"/>
                <w:szCs w:val="20"/>
              </w:rPr>
            </w:pPr>
            <w:r w:rsidRPr="007C77ED">
              <w:rPr>
                <w:rFonts w:ascii="Arial" w:hAnsi="Arial" w:cs="Arial"/>
                <w:color w:val="FF0000"/>
                <w:sz w:val="20"/>
                <w:szCs w:val="20"/>
              </w:rPr>
              <w:t>Item</w:t>
            </w:r>
          </w:p>
        </w:tc>
        <w:tc>
          <w:tcPr>
            <w:tcW w:w="626" w:type="dxa"/>
            <w:tcBorders>
              <w:top w:val="single" w:sz="8" w:space="0" w:color="777777"/>
              <w:left w:val="single" w:sz="8" w:space="0" w:color="777777"/>
              <w:bottom w:val="single" w:sz="8" w:space="0" w:color="777777"/>
              <w:right w:val="single" w:sz="8" w:space="0" w:color="777777"/>
            </w:tcBorders>
          </w:tcPr>
          <w:p w:rsidR="00CA7D8E" w:rsidRPr="007C77ED" w:rsidRDefault="00CA7D8E" w:rsidP="00EC4BC1">
            <w:pPr>
              <w:spacing w:after="0" w:line="240" w:lineRule="auto"/>
              <w:jc w:val="both"/>
              <w:rPr>
                <w:rFonts w:ascii="Arial" w:hAnsi="Arial" w:cs="Arial"/>
                <w:color w:val="FF0000"/>
                <w:sz w:val="20"/>
                <w:szCs w:val="20"/>
              </w:rPr>
            </w:pPr>
            <w:r w:rsidRPr="007C77ED">
              <w:rPr>
                <w:rFonts w:ascii="Arial" w:hAnsi="Arial" w:cs="Arial"/>
                <w:color w:val="FF0000"/>
                <w:sz w:val="20"/>
                <w:szCs w:val="20"/>
              </w:rPr>
              <w:t>1</w:t>
            </w:r>
          </w:p>
        </w:tc>
        <w:tc>
          <w:tcPr>
            <w:tcW w:w="1245" w:type="dxa"/>
            <w:tcBorders>
              <w:top w:val="single" w:sz="8" w:space="0" w:color="777777"/>
              <w:left w:val="single" w:sz="8" w:space="0" w:color="777777"/>
              <w:bottom w:val="single" w:sz="8" w:space="0" w:color="777777"/>
              <w:right w:val="single" w:sz="8" w:space="0" w:color="777777"/>
            </w:tcBorders>
          </w:tcPr>
          <w:p w:rsidR="00CA7D8E" w:rsidRPr="007C77ED" w:rsidRDefault="00CA7D8E" w:rsidP="00EC4BC1">
            <w:pPr>
              <w:spacing w:after="0" w:line="240" w:lineRule="auto"/>
              <w:jc w:val="both"/>
              <w:rPr>
                <w:rFonts w:ascii="Arial" w:hAnsi="Arial" w:cs="Arial"/>
                <w:color w:val="FF0000"/>
                <w:sz w:val="20"/>
                <w:szCs w:val="20"/>
              </w:rPr>
            </w:pPr>
            <w:r w:rsidRPr="007C77ED">
              <w:rPr>
                <w:rFonts w:ascii="Arial" w:hAnsi="Arial" w:cs="Arial"/>
                <w:color w:val="FF0000"/>
                <w:sz w:val="20"/>
                <w:szCs w:val="20"/>
              </w:rPr>
              <w:t>XXXX</w:t>
            </w:r>
          </w:p>
        </w:tc>
        <w:tc>
          <w:tcPr>
            <w:tcW w:w="2521" w:type="dxa"/>
            <w:tcBorders>
              <w:top w:val="single" w:sz="8" w:space="0" w:color="777777"/>
              <w:left w:val="single" w:sz="8" w:space="0" w:color="777777"/>
              <w:bottom w:val="single" w:sz="8" w:space="0" w:color="777777"/>
              <w:right w:val="single" w:sz="8" w:space="0" w:color="777777"/>
            </w:tcBorders>
          </w:tcPr>
          <w:p w:rsidR="00CA7D8E" w:rsidRPr="007C77ED" w:rsidRDefault="00CA7D8E" w:rsidP="00EC4BC1">
            <w:pPr>
              <w:spacing w:after="0" w:line="240" w:lineRule="auto"/>
              <w:jc w:val="both"/>
              <w:rPr>
                <w:rFonts w:ascii="Arial" w:hAnsi="Arial" w:cs="Arial"/>
                <w:sz w:val="20"/>
                <w:szCs w:val="20"/>
              </w:rPr>
            </w:pPr>
            <w:r w:rsidRPr="007C77ED">
              <w:rPr>
                <w:rFonts w:ascii="Arial" w:hAnsi="Arial" w:cs="Arial"/>
                <w:color w:val="FF0000"/>
                <w:sz w:val="20"/>
                <w:szCs w:val="20"/>
              </w:rPr>
              <w:t>XXXX - Dosagem: XXXX…</w:t>
            </w:r>
          </w:p>
        </w:tc>
        <w:tc>
          <w:tcPr>
            <w:tcW w:w="1426" w:type="dxa"/>
            <w:tcBorders>
              <w:top w:val="single" w:sz="8" w:space="0" w:color="777777"/>
              <w:left w:val="single" w:sz="8" w:space="0" w:color="777777"/>
              <w:bottom w:val="single" w:sz="8" w:space="0" w:color="777777"/>
              <w:right w:val="single" w:sz="8" w:space="0" w:color="777777"/>
            </w:tcBorders>
          </w:tcPr>
          <w:p w:rsidR="00CA7D8E" w:rsidRPr="007C77ED" w:rsidRDefault="00CA7D8E" w:rsidP="00EC4BC1">
            <w:pPr>
              <w:spacing w:after="0" w:line="240" w:lineRule="auto"/>
              <w:jc w:val="both"/>
              <w:rPr>
                <w:rFonts w:ascii="Arial" w:hAnsi="Arial" w:cs="Arial"/>
                <w:color w:val="FF0000"/>
                <w:sz w:val="20"/>
                <w:szCs w:val="20"/>
              </w:rPr>
            </w:pPr>
            <w:r w:rsidRPr="007C77ED">
              <w:rPr>
                <w:rFonts w:ascii="Arial" w:hAnsi="Arial" w:cs="Arial"/>
                <w:color w:val="FF0000"/>
                <w:sz w:val="20"/>
                <w:szCs w:val="20"/>
              </w:rPr>
              <w:t>Unidade</w:t>
            </w:r>
          </w:p>
        </w:tc>
        <w:tc>
          <w:tcPr>
            <w:tcW w:w="765" w:type="dxa"/>
            <w:tcBorders>
              <w:top w:val="single" w:sz="8" w:space="0" w:color="777777"/>
              <w:left w:val="single" w:sz="8" w:space="0" w:color="777777"/>
              <w:bottom w:val="single" w:sz="8" w:space="0" w:color="777777"/>
              <w:right w:val="single" w:sz="8" w:space="0" w:color="777777"/>
            </w:tcBorders>
          </w:tcPr>
          <w:p w:rsidR="00CA7D8E" w:rsidRPr="007C77ED" w:rsidRDefault="00CA7D8E" w:rsidP="00EC4BC1">
            <w:pPr>
              <w:spacing w:after="0" w:line="240" w:lineRule="auto"/>
              <w:jc w:val="both"/>
              <w:rPr>
                <w:rFonts w:ascii="Arial" w:hAnsi="Arial" w:cs="Arial"/>
                <w:color w:val="FF0000"/>
                <w:sz w:val="20"/>
                <w:szCs w:val="20"/>
              </w:rPr>
            </w:pPr>
            <w:r w:rsidRPr="007C77ED">
              <w:rPr>
                <w:rFonts w:ascii="Arial" w:hAnsi="Arial" w:cs="Arial"/>
                <w:color w:val="FF0000"/>
                <w:sz w:val="20"/>
                <w:szCs w:val="20"/>
              </w:rPr>
              <w:t>XXX</w:t>
            </w:r>
          </w:p>
        </w:tc>
      </w:tr>
    </w:tbl>
    <w:p w:rsidR="00CA7D8E" w:rsidRPr="007C77ED" w:rsidRDefault="00CA7D8E" w:rsidP="00CA7D8E">
      <w:pPr>
        <w:spacing w:after="0" w:line="240" w:lineRule="auto"/>
        <w:jc w:val="both"/>
        <w:rPr>
          <w:rFonts w:ascii="Arial" w:hAnsi="Arial" w:cs="Arial"/>
          <w:b/>
          <w:color w:val="000000"/>
          <w:sz w:val="20"/>
          <w:szCs w:val="20"/>
        </w:rPr>
      </w:pPr>
    </w:p>
    <w:p w:rsidR="00CA7D8E" w:rsidRPr="007C77ED" w:rsidRDefault="00CA7D8E" w:rsidP="00CA7D8E">
      <w:pPr>
        <w:spacing w:after="0" w:line="240" w:lineRule="auto"/>
        <w:jc w:val="both"/>
        <w:rPr>
          <w:rFonts w:ascii="Arial" w:hAnsi="Arial" w:cs="Arial"/>
          <w:color w:val="000000"/>
          <w:sz w:val="20"/>
          <w:szCs w:val="20"/>
        </w:rPr>
      </w:pPr>
      <w:r w:rsidRPr="007C77ED">
        <w:rPr>
          <w:rFonts w:ascii="Arial" w:hAnsi="Arial" w:cs="Arial"/>
          <w:b/>
          <w:bCs/>
          <w:color w:val="000000"/>
          <w:sz w:val="20"/>
          <w:szCs w:val="20"/>
        </w:rPr>
        <w:t>1.3.</w:t>
      </w:r>
      <w:r w:rsidRPr="007C77ED">
        <w:rPr>
          <w:rFonts w:ascii="Arial" w:hAnsi="Arial" w:cs="Arial"/>
          <w:color w:val="000000"/>
          <w:sz w:val="20"/>
          <w:szCs w:val="20"/>
        </w:rPr>
        <w:t xml:space="preserve"> </w:t>
      </w:r>
      <w:proofErr w:type="gramStart"/>
      <w:r w:rsidRPr="007C77ED">
        <w:rPr>
          <w:rFonts w:ascii="Arial" w:hAnsi="Arial" w:cs="Arial"/>
          <w:color w:val="000000"/>
          <w:sz w:val="20"/>
          <w:szCs w:val="20"/>
        </w:rPr>
        <w:t>O(</w:t>
      </w:r>
      <w:proofErr w:type="gramEnd"/>
      <w:r w:rsidRPr="007C77ED">
        <w:rPr>
          <w:rFonts w:ascii="Arial" w:hAnsi="Arial" w:cs="Arial"/>
          <w:color w:val="000000"/>
          <w:sz w:val="20"/>
          <w:szCs w:val="20"/>
        </w:rPr>
        <w:t xml:space="preserve">s) objeto(s) dessa licitação é(são) classificado(s) como </w:t>
      </w:r>
      <w:r w:rsidRPr="007C77ED">
        <w:rPr>
          <w:rFonts w:ascii="Arial" w:hAnsi="Arial" w:cs="Arial"/>
          <w:b/>
          <w:color w:val="000000"/>
          <w:sz w:val="20"/>
          <w:szCs w:val="20"/>
        </w:rPr>
        <w:t>bem(</w:t>
      </w:r>
      <w:proofErr w:type="spellStart"/>
      <w:r w:rsidRPr="007C77ED">
        <w:rPr>
          <w:rFonts w:ascii="Arial" w:hAnsi="Arial" w:cs="Arial"/>
          <w:b/>
          <w:color w:val="000000"/>
          <w:sz w:val="20"/>
          <w:szCs w:val="20"/>
        </w:rPr>
        <w:t>ns</w:t>
      </w:r>
      <w:proofErr w:type="spellEnd"/>
      <w:r w:rsidRPr="007C77ED">
        <w:rPr>
          <w:rFonts w:ascii="Arial" w:hAnsi="Arial" w:cs="Arial"/>
          <w:b/>
          <w:color w:val="000000"/>
          <w:sz w:val="20"/>
          <w:szCs w:val="20"/>
        </w:rPr>
        <w:t>) comum(</w:t>
      </w:r>
      <w:proofErr w:type="spellStart"/>
      <w:r w:rsidRPr="007C77ED">
        <w:rPr>
          <w:rFonts w:ascii="Arial" w:hAnsi="Arial" w:cs="Arial"/>
          <w:b/>
          <w:color w:val="000000"/>
          <w:sz w:val="20"/>
          <w:szCs w:val="20"/>
        </w:rPr>
        <w:t>ns</w:t>
      </w:r>
      <w:proofErr w:type="spellEnd"/>
      <w:r w:rsidRPr="007C77ED">
        <w:rPr>
          <w:rFonts w:ascii="Arial" w:hAnsi="Arial" w:cs="Arial"/>
          <w:b/>
          <w:color w:val="000000"/>
          <w:sz w:val="20"/>
          <w:szCs w:val="20"/>
        </w:rPr>
        <w:t>)</w:t>
      </w:r>
      <w:r w:rsidRPr="007C77ED">
        <w:rPr>
          <w:rFonts w:ascii="Arial" w:hAnsi="Arial" w:cs="Arial"/>
          <w:color w:val="000000"/>
          <w:sz w:val="20"/>
          <w:szCs w:val="20"/>
        </w:rPr>
        <w:t>, pois possui(em) especificação(</w:t>
      </w:r>
      <w:proofErr w:type="spellStart"/>
      <w:r w:rsidRPr="007C77ED">
        <w:rPr>
          <w:rFonts w:ascii="Arial" w:hAnsi="Arial" w:cs="Arial"/>
          <w:color w:val="000000"/>
          <w:sz w:val="20"/>
          <w:szCs w:val="20"/>
        </w:rPr>
        <w:t>ões</w:t>
      </w:r>
      <w:proofErr w:type="spellEnd"/>
      <w:r w:rsidRPr="007C77ED">
        <w:rPr>
          <w:rFonts w:ascii="Arial" w:hAnsi="Arial" w:cs="Arial"/>
          <w:color w:val="000000"/>
          <w:sz w:val="20"/>
          <w:szCs w:val="20"/>
        </w:rPr>
        <w:t>) usual(</w:t>
      </w:r>
      <w:proofErr w:type="spellStart"/>
      <w:r w:rsidRPr="007C77ED">
        <w:rPr>
          <w:rFonts w:ascii="Arial" w:hAnsi="Arial" w:cs="Arial"/>
          <w:color w:val="000000"/>
          <w:sz w:val="20"/>
          <w:szCs w:val="20"/>
        </w:rPr>
        <w:t>is</w:t>
      </w:r>
      <w:proofErr w:type="spellEnd"/>
      <w:r w:rsidRPr="007C77ED">
        <w:rPr>
          <w:rFonts w:ascii="Arial" w:hAnsi="Arial" w:cs="Arial"/>
          <w:color w:val="000000"/>
          <w:sz w:val="20"/>
          <w:szCs w:val="20"/>
        </w:rPr>
        <w:t>) de mercado e padrão(</w:t>
      </w:r>
      <w:proofErr w:type="spellStart"/>
      <w:r w:rsidRPr="007C77ED">
        <w:rPr>
          <w:rFonts w:ascii="Arial" w:hAnsi="Arial" w:cs="Arial"/>
          <w:color w:val="000000"/>
          <w:sz w:val="20"/>
          <w:szCs w:val="20"/>
        </w:rPr>
        <w:t>ões</w:t>
      </w:r>
      <w:proofErr w:type="spellEnd"/>
      <w:r w:rsidRPr="007C77ED">
        <w:rPr>
          <w:rFonts w:ascii="Arial" w:hAnsi="Arial" w:cs="Arial"/>
          <w:color w:val="000000"/>
          <w:sz w:val="20"/>
          <w:szCs w:val="20"/>
        </w:rPr>
        <w:t>) de qualidade definidas em Edital, nos termos do parágrafo único do art. 1º da Lei n. 10.520/02 e do inciso II e § 1º do art. 3º do Decreto Estadual n. 15.327/19.</w:t>
      </w:r>
    </w:p>
    <w:p w:rsidR="00CA7D8E" w:rsidRPr="007C77ED" w:rsidRDefault="00CA7D8E" w:rsidP="00CA7D8E">
      <w:pPr>
        <w:spacing w:after="0" w:line="240" w:lineRule="auto"/>
        <w:jc w:val="both"/>
        <w:rPr>
          <w:rFonts w:ascii="Arial" w:hAnsi="Arial" w:cs="Arial"/>
          <w:color w:val="000000"/>
          <w:sz w:val="20"/>
          <w:szCs w:val="20"/>
        </w:rPr>
      </w:pPr>
    </w:p>
    <w:p w:rsidR="00CA7D8E" w:rsidRPr="007C77ED" w:rsidRDefault="00CA7D8E" w:rsidP="00CA7D8E">
      <w:pPr>
        <w:spacing w:after="0" w:line="240" w:lineRule="auto"/>
        <w:jc w:val="both"/>
        <w:rPr>
          <w:rFonts w:ascii="Arial" w:hAnsi="Arial" w:cs="Arial"/>
          <w:color w:val="000000"/>
          <w:sz w:val="20"/>
          <w:szCs w:val="20"/>
        </w:rPr>
      </w:pPr>
      <w:r w:rsidRPr="007C77ED">
        <w:rPr>
          <w:rFonts w:ascii="Arial" w:hAnsi="Arial" w:cs="Arial"/>
          <w:b/>
          <w:color w:val="000000"/>
          <w:sz w:val="20"/>
          <w:szCs w:val="20"/>
          <w:highlight w:val="cyan"/>
        </w:rPr>
        <w:t>1.4.</w:t>
      </w:r>
      <w:r w:rsidRPr="007C77ED">
        <w:rPr>
          <w:rFonts w:ascii="Arial" w:hAnsi="Arial" w:cs="Arial"/>
          <w:color w:val="000000"/>
          <w:sz w:val="20"/>
          <w:szCs w:val="20"/>
          <w:highlight w:val="cyan"/>
        </w:rPr>
        <w:t xml:space="preserve"> A licitação será através do procedimento de </w:t>
      </w:r>
      <w:r w:rsidRPr="007C77ED">
        <w:rPr>
          <w:rFonts w:ascii="Arial" w:hAnsi="Arial" w:cs="Arial"/>
          <w:b/>
          <w:color w:val="000000"/>
          <w:sz w:val="20"/>
          <w:szCs w:val="20"/>
          <w:highlight w:val="cyan"/>
        </w:rPr>
        <w:t>Registro de Preços</w:t>
      </w:r>
      <w:r w:rsidRPr="007C77ED">
        <w:rPr>
          <w:rFonts w:ascii="Arial" w:hAnsi="Arial" w:cs="Arial"/>
          <w:color w:val="000000"/>
          <w:sz w:val="20"/>
          <w:szCs w:val="20"/>
          <w:highlight w:val="cyan"/>
        </w:rPr>
        <w:t xml:space="preserve">, conforme autorizam os incisos </w:t>
      </w:r>
      <w:r w:rsidRPr="007C77ED">
        <w:rPr>
          <w:rFonts w:ascii="Arial" w:hAnsi="Arial" w:cs="Arial"/>
          <w:color w:val="FF0000"/>
          <w:sz w:val="20"/>
          <w:szCs w:val="20"/>
          <w:highlight w:val="cyan"/>
        </w:rPr>
        <w:t>XXXXXXXX</w:t>
      </w:r>
      <w:r w:rsidRPr="007C77ED">
        <w:rPr>
          <w:rFonts w:ascii="Arial" w:hAnsi="Arial" w:cs="Arial"/>
          <w:color w:val="000000"/>
          <w:sz w:val="20"/>
          <w:szCs w:val="20"/>
          <w:highlight w:val="cyan"/>
        </w:rPr>
        <w:t xml:space="preserve"> do art. 3º do Decreto Estadual n. 15.454, de 10 de junho de 2020</w:t>
      </w:r>
      <w:r w:rsidRPr="007C77ED">
        <w:rPr>
          <w:rFonts w:ascii="Arial" w:hAnsi="Arial" w:cs="Arial"/>
          <w:color w:val="000000"/>
          <w:sz w:val="20"/>
          <w:szCs w:val="20"/>
        </w:rPr>
        <w:t>.</w:t>
      </w:r>
    </w:p>
    <w:p w:rsidR="00CA7D8E" w:rsidRPr="007C77ED" w:rsidRDefault="00CA7D8E" w:rsidP="00CA7D8E">
      <w:pPr>
        <w:spacing w:after="120" w:line="240" w:lineRule="auto"/>
        <w:jc w:val="both"/>
        <w:rPr>
          <w:rFonts w:ascii="Arial" w:hAnsi="Arial" w:cs="Arial"/>
          <w:color w:val="FF0000"/>
          <w:sz w:val="20"/>
          <w:szCs w:val="20"/>
          <w:highlight w:val="yellow"/>
        </w:rPr>
      </w:pPr>
    </w:p>
    <w:p w:rsidR="00CA7D8E" w:rsidRPr="007C77ED" w:rsidRDefault="00CA7D8E" w:rsidP="00CA7D8E">
      <w:pPr>
        <w:pBdr>
          <w:top w:val="single" w:sz="4" w:space="1" w:color="auto"/>
          <w:left w:val="single" w:sz="4" w:space="4" w:color="auto"/>
          <w:bottom w:val="single" w:sz="4" w:space="1" w:color="auto"/>
          <w:right w:val="single" w:sz="4" w:space="4" w:color="auto"/>
        </w:pBdr>
        <w:shd w:val="pct10" w:color="auto" w:fill="auto"/>
        <w:spacing w:after="120" w:line="240" w:lineRule="auto"/>
        <w:jc w:val="both"/>
        <w:rPr>
          <w:rFonts w:ascii="Arial" w:hAnsi="Arial" w:cs="Arial"/>
          <w:b/>
          <w:sz w:val="20"/>
          <w:szCs w:val="20"/>
        </w:rPr>
      </w:pPr>
      <w:r w:rsidRPr="007C77ED">
        <w:rPr>
          <w:rFonts w:ascii="Arial" w:hAnsi="Arial" w:cs="Arial"/>
          <w:b/>
          <w:sz w:val="20"/>
          <w:szCs w:val="20"/>
        </w:rPr>
        <w:t>Nota explicativa:</w:t>
      </w:r>
      <w:r w:rsidRPr="007C77ED">
        <w:rPr>
          <w:rFonts w:ascii="Arial" w:hAnsi="Arial" w:cs="Arial"/>
          <w:sz w:val="20"/>
          <w:szCs w:val="20"/>
        </w:rPr>
        <w:t xml:space="preserve"> O campo em vermelho do subitem 1.4 deve indicar uma das hipóteses do art. 3º, Decreto Estadual n. 15.454/2020, que autoriza a utilização do Sistema de Registro de Preço.</w:t>
      </w:r>
    </w:p>
    <w:p w:rsidR="00CA7D8E" w:rsidRPr="007C77ED" w:rsidRDefault="00CA7D8E" w:rsidP="00CA7D8E">
      <w:pPr>
        <w:spacing w:after="0" w:line="240" w:lineRule="auto"/>
        <w:jc w:val="both"/>
        <w:rPr>
          <w:rFonts w:ascii="Arial" w:hAnsi="Arial" w:cs="Arial"/>
          <w:color w:val="000000"/>
          <w:sz w:val="20"/>
          <w:szCs w:val="20"/>
        </w:rPr>
      </w:pPr>
    </w:p>
    <w:p w:rsidR="00CA7D8E" w:rsidRPr="007C77ED" w:rsidRDefault="00CA7D8E" w:rsidP="00CA7D8E">
      <w:pPr>
        <w:spacing w:after="0" w:line="240" w:lineRule="auto"/>
        <w:jc w:val="both"/>
        <w:rPr>
          <w:rFonts w:ascii="Arial" w:hAnsi="Arial" w:cs="Arial"/>
          <w:color w:val="000000"/>
          <w:sz w:val="20"/>
          <w:szCs w:val="20"/>
        </w:rPr>
      </w:pPr>
    </w:p>
    <w:p w:rsidR="00CA7D8E" w:rsidRPr="007C77ED" w:rsidRDefault="00CA7D8E" w:rsidP="00CA7D8E">
      <w:pPr>
        <w:spacing w:after="0" w:line="240" w:lineRule="auto"/>
        <w:jc w:val="both"/>
        <w:rPr>
          <w:rFonts w:ascii="Arial" w:hAnsi="Arial" w:cs="Arial"/>
          <w:b/>
          <w:color w:val="212121"/>
          <w:sz w:val="20"/>
          <w:szCs w:val="20"/>
        </w:rPr>
      </w:pPr>
      <w:r w:rsidRPr="007C77ED">
        <w:rPr>
          <w:rFonts w:ascii="Arial" w:hAnsi="Arial" w:cs="Arial"/>
          <w:b/>
          <w:color w:val="000000"/>
          <w:sz w:val="20"/>
          <w:szCs w:val="20"/>
        </w:rPr>
        <w:t xml:space="preserve">2. </w:t>
      </w:r>
      <w:r w:rsidRPr="007C77ED">
        <w:rPr>
          <w:rFonts w:ascii="Arial" w:hAnsi="Arial" w:cs="Arial"/>
          <w:b/>
          <w:color w:val="212121"/>
          <w:sz w:val="20"/>
          <w:szCs w:val="20"/>
        </w:rPr>
        <w:t>JUSTIFICATIVA DA CONTRATAÇÃO E DO QUANTITATIVO</w:t>
      </w:r>
    </w:p>
    <w:p w:rsidR="00CA7D8E" w:rsidRPr="007C77ED" w:rsidRDefault="00CA7D8E" w:rsidP="00CA7D8E">
      <w:pPr>
        <w:spacing w:after="0" w:line="240" w:lineRule="auto"/>
        <w:jc w:val="both"/>
        <w:rPr>
          <w:rFonts w:ascii="Arial" w:hAnsi="Arial" w:cs="Arial"/>
          <w:b/>
          <w:color w:val="FF0000"/>
          <w:sz w:val="20"/>
          <w:szCs w:val="20"/>
        </w:rPr>
      </w:pPr>
    </w:p>
    <w:p w:rsidR="00CA7D8E" w:rsidRPr="007C77ED" w:rsidRDefault="00CA7D8E" w:rsidP="00CA7D8E">
      <w:pPr>
        <w:spacing w:after="0" w:line="240" w:lineRule="auto"/>
        <w:jc w:val="both"/>
        <w:rPr>
          <w:rFonts w:ascii="Arial" w:hAnsi="Arial" w:cs="Arial"/>
          <w:color w:val="FF0000"/>
          <w:sz w:val="20"/>
          <w:szCs w:val="20"/>
        </w:rPr>
      </w:pPr>
      <w:r w:rsidRPr="007C77ED">
        <w:rPr>
          <w:rFonts w:ascii="Arial" w:hAnsi="Arial" w:cs="Arial"/>
          <w:b/>
          <w:color w:val="FF0000"/>
          <w:sz w:val="20"/>
          <w:szCs w:val="20"/>
        </w:rPr>
        <w:lastRenderedPageBreak/>
        <w:t>2.1</w:t>
      </w:r>
      <w:r w:rsidRPr="007C77ED">
        <w:rPr>
          <w:rFonts w:ascii="Arial" w:hAnsi="Arial" w:cs="Arial"/>
          <w:color w:val="FF0000"/>
          <w:sz w:val="20"/>
          <w:szCs w:val="20"/>
        </w:rPr>
        <w:t>......................</w:t>
      </w:r>
    </w:p>
    <w:p w:rsidR="00CA7D8E" w:rsidRPr="007C77ED" w:rsidRDefault="00CA7D8E" w:rsidP="00CA7D8E">
      <w:pPr>
        <w:spacing w:after="120" w:line="240" w:lineRule="auto"/>
        <w:jc w:val="both"/>
        <w:rPr>
          <w:rFonts w:ascii="Arial" w:hAnsi="Arial" w:cs="Arial"/>
          <w:b/>
          <w:sz w:val="20"/>
          <w:szCs w:val="20"/>
        </w:rPr>
      </w:pP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b/>
          <w:sz w:val="20"/>
          <w:szCs w:val="20"/>
        </w:rPr>
      </w:pPr>
      <w:r w:rsidRPr="007C77ED">
        <w:rPr>
          <w:rFonts w:ascii="Arial" w:hAnsi="Arial" w:cs="Arial"/>
          <w:b/>
          <w:sz w:val="20"/>
          <w:szCs w:val="20"/>
        </w:rPr>
        <w:t>Orientações práticas:</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bCs/>
          <w:sz w:val="20"/>
          <w:szCs w:val="20"/>
        </w:rPr>
      </w:pPr>
      <w:r w:rsidRPr="007C77ED">
        <w:rPr>
          <w:rFonts w:ascii="Arial" w:hAnsi="Arial" w:cs="Arial"/>
          <w:bCs/>
          <w:sz w:val="20"/>
          <w:szCs w:val="20"/>
        </w:rPr>
        <w:t>O art. 10, I, alíneas ‘a’ e ‘b’, do Decreto n. 15.524/20 exige que o termo de referência aponte a justificativa da necessidade da aquisição e justifique a necessidade do quantitativo a ser contratado.</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bCs/>
          <w:sz w:val="20"/>
          <w:szCs w:val="20"/>
        </w:rPr>
      </w:pPr>
      <w:r w:rsidRPr="007C77ED">
        <w:rPr>
          <w:rFonts w:ascii="Arial" w:hAnsi="Arial" w:cs="Arial"/>
          <w:bCs/>
          <w:sz w:val="20"/>
          <w:szCs w:val="20"/>
        </w:rPr>
        <w:t xml:space="preserve">A Equipe de Planejamento poderá buscar esses elementos no Estudo Técnico Preliminar, transcrevendo-os de forma sucinta no presente tópico. </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b/>
          <w:sz w:val="20"/>
          <w:szCs w:val="20"/>
        </w:rPr>
      </w:pPr>
      <w:r w:rsidRPr="007C77ED">
        <w:rPr>
          <w:rFonts w:ascii="Arial" w:hAnsi="Arial" w:cs="Arial"/>
          <w:b/>
          <w:sz w:val="20"/>
          <w:szCs w:val="20"/>
        </w:rPr>
        <w:t>1. Elementos da justificativa</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sz w:val="20"/>
          <w:szCs w:val="20"/>
        </w:rPr>
        <w:t xml:space="preserve">Na definição do objeto já ficou delineado </w:t>
      </w:r>
      <w:r w:rsidRPr="007C77ED">
        <w:rPr>
          <w:rFonts w:ascii="Arial" w:hAnsi="Arial" w:cs="Arial"/>
          <w:i/>
          <w:sz w:val="20"/>
          <w:szCs w:val="20"/>
        </w:rPr>
        <w:t>o que se quer</w:t>
      </w:r>
      <w:r w:rsidRPr="007C77ED">
        <w:rPr>
          <w:rFonts w:ascii="Arial" w:hAnsi="Arial" w:cs="Arial"/>
          <w:sz w:val="20"/>
          <w:szCs w:val="20"/>
        </w:rPr>
        <w:t>.</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sz w:val="20"/>
          <w:szCs w:val="20"/>
        </w:rPr>
        <w:t xml:space="preserve">Agora, a justificativa </w:t>
      </w:r>
      <w:r w:rsidRPr="007C77ED">
        <w:rPr>
          <w:rFonts w:ascii="Arial" w:hAnsi="Arial" w:cs="Arial"/>
          <w:i/>
          <w:sz w:val="20"/>
          <w:szCs w:val="20"/>
        </w:rPr>
        <w:t>daquilo que se quer</w:t>
      </w:r>
      <w:r w:rsidRPr="007C77ED">
        <w:rPr>
          <w:rFonts w:ascii="Arial" w:hAnsi="Arial" w:cs="Arial"/>
          <w:sz w:val="20"/>
          <w:szCs w:val="20"/>
        </w:rPr>
        <w:t xml:space="preserve"> e do quantitativo passa pela análise crítica dos seguintes questionamentos para demonstrar por que a contratação é necessária ao órgão ou entidade: Quem quer? Por que quer? Para que se quer? Quanto quer? Para quando se quer? Como quer?</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b/>
          <w:sz w:val="20"/>
          <w:szCs w:val="20"/>
        </w:rPr>
      </w:pPr>
      <w:r w:rsidRPr="007C77ED">
        <w:rPr>
          <w:rFonts w:ascii="Arial" w:hAnsi="Arial" w:cs="Arial"/>
          <w:b/>
          <w:sz w:val="20"/>
          <w:szCs w:val="20"/>
        </w:rPr>
        <w:t>2. Instrução processual</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sz w:val="20"/>
          <w:szCs w:val="20"/>
        </w:rPr>
        <w:t>Os documentos que serviram de base para a elaboração da justificativa e definição do quantitativo (</w:t>
      </w:r>
      <w:proofErr w:type="spellStart"/>
      <w:r w:rsidRPr="007C77ED">
        <w:rPr>
          <w:rFonts w:ascii="Arial" w:hAnsi="Arial" w:cs="Arial"/>
          <w:sz w:val="20"/>
          <w:szCs w:val="20"/>
        </w:rPr>
        <w:t>ex</w:t>
      </w:r>
      <w:proofErr w:type="spellEnd"/>
      <w:r w:rsidRPr="007C77ED">
        <w:rPr>
          <w:rFonts w:ascii="Arial" w:hAnsi="Arial" w:cs="Arial"/>
          <w:sz w:val="20"/>
          <w:szCs w:val="20"/>
        </w:rPr>
        <w:t xml:space="preserve">: série histórica de consumo, contratos anteriores, experiência de outros órgãos, controle de almoxarifado, </w:t>
      </w:r>
      <w:proofErr w:type="spellStart"/>
      <w:r w:rsidRPr="007C77ED">
        <w:rPr>
          <w:rFonts w:ascii="Arial" w:hAnsi="Arial" w:cs="Arial"/>
          <w:sz w:val="20"/>
          <w:szCs w:val="20"/>
        </w:rPr>
        <w:t>etc</w:t>
      </w:r>
      <w:proofErr w:type="spellEnd"/>
      <w:r w:rsidRPr="007C77ED">
        <w:rPr>
          <w:rFonts w:ascii="Arial" w:hAnsi="Arial" w:cs="Arial"/>
          <w:sz w:val="20"/>
          <w:szCs w:val="20"/>
        </w:rPr>
        <w:t>) devem estar nos autos acompanhar o termo de referência como anexo.</w:t>
      </w:r>
    </w:p>
    <w:p w:rsidR="00CA7D8E" w:rsidRPr="007C77ED" w:rsidRDefault="00CA7D8E" w:rsidP="00CA7D8E">
      <w:pPr>
        <w:spacing w:after="0" w:line="240" w:lineRule="auto"/>
        <w:jc w:val="both"/>
        <w:rPr>
          <w:rFonts w:ascii="Arial" w:hAnsi="Arial" w:cs="Arial"/>
          <w:b/>
          <w:color w:val="000000"/>
          <w:sz w:val="20"/>
          <w:szCs w:val="20"/>
        </w:rPr>
      </w:pPr>
    </w:p>
    <w:p w:rsidR="00CA7D8E" w:rsidRPr="007C77ED" w:rsidRDefault="00CA7D8E" w:rsidP="00CA7D8E">
      <w:pPr>
        <w:spacing w:after="0" w:line="240" w:lineRule="auto"/>
        <w:jc w:val="both"/>
        <w:rPr>
          <w:rFonts w:ascii="Arial" w:hAnsi="Arial" w:cs="Arial"/>
          <w:b/>
          <w:color w:val="000000"/>
          <w:sz w:val="20"/>
          <w:szCs w:val="20"/>
        </w:rPr>
      </w:pPr>
      <w:r w:rsidRPr="007C77ED">
        <w:rPr>
          <w:rFonts w:ascii="Arial" w:hAnsi="Arial" w:cs="Arial"/>
          <w:b/>
          <w:color w:val="000000"/>
          <w:sz w:val="20"/>
          <w:szCs w:val="20"/>
        </w:rPr>
        <w:t>3. DEFINIÇÃO DOS MÉTODOS PARA EXECUÇÃO DO OBJETO</w:t>
      </w:r>
    </w:p>
    <w:p w:rsidR="00CA7D8E" w:rsidRPr="007C77ED" w:rsidRDefault="00CA7D8E" w:rsidP="00CA7D8E">
      <w:pPr>
        <w:rPr>
          <w:rFonts w:ascii="Arial" w:hAnsi="Arial" w:cs="Arial"/>
          <w:b/>
          <w:sz w:val="20"/>
          <w:szCs w:val="20"/>
        </w:rPr>
      </w:pP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b/>
          <w:sz w:val="20"/>
          <w:szCs w:val="20"/>
        </w:rPr>
      </w:pPr>
      <w:r w:rsidRPr="007C77ED">
        <w:rPr>
          <w:rFonts w:ascii="Arial" w:hAnsi="Arial" w:cs="Arial"/>
          <w:b/>
          <w:sz w:val="20"/>
          <w:szCs w:val="20"/>
        </w:rPr>
        <w:t>Orientações práticas:</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bCs/>
          <w:sz w:val="20"/>
          <w:szCs w:val="20"/>
        </w:rPr>
      </w:pPr>
      <w:r w:rsidRPr="007C77ED">
        <w:rPr>
          <w:rFonts w:ascii="Arial" w:hAnsi="Arial" w:cs="Arial"/>
          <w:bCs/>
          <w:sz w:val="20"/>
          <w:szCs w:val="20"/>
        </w:rPr>
        <w:t>O art. 10, I, alínea ‘b’, do Decreto n. 15.524/20 exige que o termo de referência defina os métodos para a execução do objeto, que consiste na indicação de como o contrato deverá produzir os resultados pretendidos desde o seu início até o seu encerramento, o que inclui: “</w:t>
      </w:r>
      <w:r w:rsidRPr="007C77ED">
        <w:rPr>
          <w:rFonts w:ascii="Arial" w:hAnsi="Arial" w:cs="Arial"/>
          <w:bCs/>
          <w:i/>
          <w:sz w:val="20"/>
          <w:szCs w:val="20"/>
        </w:rPr>
        <w:t>requisitos de qualidade, rendimento, compatibilidade, durabilidade e segurança; II - indicação dos locais de entrega do bem e das regras para o recebimento provisório e para o definitivo, quando for o caso; III - especificação da garantia exigida e das condições de manutenção e assistência técnica, quando for o caso; e IV - o prazo de validade aceitável na data da entrega, considerando o prazo total recomendado pelo fabricante, no caso de bem perecível</w:t>
      </w:r>
      <w:r w:rsidRPr="007C77ED">
        <w:rPr>
          <w:rFonts w:ascii="Arial" w:hAnsi="Arial" w:cs="Arial"/>
          <w:bCs/>
          <w:sz w:val="20"/>
          <w:szCs w:val="20"/>
        </w:rPr>
        <w:t>” (§2º, art. 10, do Decreto 15.524/2020)</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bCs/>
          <w:sz w:val="20"/>
          <w:szCs w:val="20"/>
        </w:rPr>
      </w:pPr>
      <w:r w:rsidRPr="007C77ED">
        <w:rPr>
          <w:rFonts w:ascii="Arial" w:hAnsi="Arial" w:cs="Arial"/>
          <w:b/>
          <w:bCs/>
          <w:sz w:val="20"/>
          <w:szCs w:val="20"/>
        </w:rPr>
        <w:t>Prazo de entrega</w:t>
      </w:r>
      <w:r w:rsidRPr="007C77ED">
        <w:rPr>
          <w:rFonts w:ascii="Arial" w:hAnsi="Arial" w:cs="Arial"/>
          <w:bCs/>
          <w:sz w:val="20"/>
          <w:szCs w:val="20"/>
        </w:rPr>
        <w:t>: Recomenda-se que seja estabelecido um prazo razoável para a entrega dos medicamentos, de modo a se evitar o afastamento de potenciais fornecedores em participar da licitação com prazos incompatíveis com os praticados no mercado.</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bCs/>
          <w:sz w:val="20"/>
          <w:szCs w:val="20"/>
        </w:rPr>
      </w:pPr>
      <w:r w:rsidRPr="007C77ED">
        <w:rPr>
          <w:rFonts w:ascii="Arial" w:hAnsi="Arial" w:cs="Arial"/>
          <w:b/>
          <w:bCs/>
          <w:sz w:val="20"/>
          <w:szCs w:val="20"/>
        </w:rPr>
        <w:t>Assuntos complementares</w:t>
      </w:r>
      <w:r w:rsidRPr="007C77ED">
        <w:rPr>
          <w:rFonts w:ascii="Arial" w:hAnsi="Arial" w:cs="Arial"/>
          <w:bCs/>
          <w:sz w:val="20"/>
          <w:szCs w:val="20"/>
        </w:rPr>
        <w:t>: Este item deve ser adaptado pela Administração, quando necessário, para incluir outras questões relativas à execução do objeto que não estejam padronizadas neste documento.</w:t>
      </w:r>
    </w:p>
    <w:p w:rsidR="00CA7D8E" w:rsidRPr="007C77ED" w:rsidRDefault="00CA7D8E" w:rsidP="00CA7D8E">
      <w:pPr>
        <w:spacing w:after="120" w:line="240" w:lineRule="auto"/>
        <w:jc w:val="both"/>
        <w:rPr>
          <w:rFonts w:ascii="Arial" w:hAnsi="Arial" w:cs="Arial"/>
          <w:b/>
          <w:sz w:val="20"/>
          <w:szCs w:val="20"/>
        </w:rPr>
      </w:pPr>
    </w:p>
    <w:p w:rsidR="00CA7D8E" w:rsidRPr="007C77ED" w:rsidRDefault="00CA7D8E" w:rsidP="00CA7D8E">
      <w:pPr>
        <w:spacing w:after="0" w:line="240" w:lineRule="auto"/>
        <w:jc w:val="both"/>
        <w:rPr>
          <w:rFonts w:ascii="Arial" w:hAnsi="Arial" w:cs="Arial"/>
          <w:color w:val="FF0000"/>
          <w:sz w:val="20"/>
          <w:szCs w:val="20"/>
        </w:rPr>
      </w:pPr>
      <w:r w:rsidRPr="007C77ED">
        <w:rPr>
          <w:rFonts w:ascii="Arial" w:hAnsi="Arial" w:cs="Arial"/>
          <w:b/>
          <w:color w:val="000000"/>
          <w:sz w:val="20"/>
          <w:szCs w:val="20"/>
        </w:rPr>
        <w:t>3.1.</w:t>
      </w:r>
      <w:r w:rsidRPr="007C77ED">
        <w:rPr>
          <w:rFonts w:ascii="Arial" w:hAnsi="Arial" w:cs="Arial"/>
          <w:color w:val="000000"/>
          <w:sz w:val="20"/>
          <w:szCs w:val="20"/>
        </w:rPr>
        <w:t xml:space="preserve"> Cada entrega deverá ser efetuada mediante solicitação por escrito, formalizada pela </w:t>
      </w:r>
      <w:r w:rsidRPr="007C77ED">
        <w:rPr>
          <w:rFonts w:ascii="Arial" w:hAnsi="Arial" w:cs="Arial"/>
          <w:color w:val="FF0000"/>
          <w:sz w:val="20"/>
          <w:szCs w:val="20"/>
        </w:rPr>
        <w:t xml:space="preserve">contratante OU </w:t>
      </w:r>
      <w:r w:rsidRPr="007C77ED">
        <w:rPr>
          <w:rFonts w:ascii="Arial" w:hAnsi="Arial" w:cs="Arial"/>
          <w:color w:val="000000" w:themeColor="text1"/>
          <w:sz w:val="20"/>
          <w:szCs w:val="20"/>
          <w:highlight w:val="cyan"/>
        </w:rPr>
        <w:t>pelo órgão ou entidade participante ao órgão gerenciador</w:t>
      </w:r>
      <w:r w:rsidRPr="007C77ED">
        <w:rPr>
          <w:rFonts w:ascii="Arial" w:hAnsi="Arial" w:cs="Arial"/>
          <w:color w:val="000000" w:themeColor="text1"/>
          <w:sz w:val="20"/>
          <w:szCs w:val="20"/>
        </w:rPr>
        <w:t xml:space="preserve">, dela </w:t>
      </w:r>
      <w:r w:rsidRPr="007C77ED">
        <w:rPr>
          <w:rFonts w:ascii="Arial" w:hAnsi="Arial" w:cs="Arial"/>
          <w:color w:val="000000"/>
          <w:sz w:val="20"/>
          <w:szCs w:val="20"/>
        </w:rPr>
        <w:t xml:space="preserve">devendo constar: a data, o valor unitário da entrega, a quantidade pretendida, o local para a entrega, o prazo, o carimbo e a assinatura do responsável, sendo efetuado diretamente pelo órgão/entidade requisitante, devidamente autorizado </w:t>
      </w:r>
      <w:r w:rsidRPr="007C77ED">
        <w:rPr>
          <w:rFonts w:ascii="Arial" w:hAnsi="Arial" w:cs="Arial"/>
          <w:sz w:val="20"/>
          <w:szCs w:val="20"/>
        </w:rPr>
        <w:t>pela autoridade superior, e ainda acompanhada pela nota de empenho ou instrumento equivalente</w:t>
      </w:r>
      <w:r w:rsidRPr="007C77ED">
        <w:rPr>
          <w:rFonts w:ascii="Arial" w:hAnsi="Arial" w:cs="Arial"/>
          <w:sz w:val="20"/>
          <w:szCs w:val="20"/>
          <w:highlight w:val="cyan"/>
        </w:rPr>
        <w:t>, contendo o número de referência da Ata</w:t>
      </w:r>
      <w:r w:rsidRPr="007C77ED">
        <w:rPr>
          <w:rFonts w:ascii="Arial" w:hAnsi="Arial" w:cs="Arial"/>
          <w:sz w:val="20"/>
          <w:szCs w:val="20"/>
        </w:rPr>
        <w:t>.</w:t>
      </w:r>
    </w:p>
    <w:p w:rsidR="00CA7D8E" w:rsidRPr="007C77ED" w:rsidRDefault="00CA7D8E" w:rsidP="00CA7D8E">
      <w:pPr>
        <w:spacing w:after="0" w:line="240" w:lineRule="auto"/>
        <w:jc w:val="both"/>
        <w:rPr>
          <w:rFonts w:ascii="Arial" w:hAnsi="Arial" w:cs="Arial"/>
          <w:bCs/>
          <w:color w:val="000000"/>
          <w:sz w:val="20"/>
          <w:szCs w:val="20"/>
        </w:rPr>
      </w:pPr>
    </w:p>
    <w:p w:rsidR="00CA7D8E" w:rsidRPr="007C77ED" w:rsidRDefault="00CA7D8E" w:rsidP="00CA7D8E">
      <w:pPr>
        <w:spacing w:after="0" w:line="240" w:lineRule="auto"/>
        <w:jc w:val="both"/>
        <w:rPr>
          <w:rFonts w:ascii="Arial" w:hAnsi="Arial" w:cs="Arial"/>
          <w:color w:val="FF0000"/>
          <w:sz w:val="20"/>
          <w:szCs w:val="20"/>
        </w:rPr>
      </w:pPr>
      <w:r w:rsidRPr="007C77ED">
        <w:rPr>
          <w:rFonts w:ascii="Arial" w:hAnsi="Arial" w:cs="Arial"/>
          <w:b/>
          <w:bCs/>
          <w:color w:val="000000"/>
          <w:sz w:val="20"/>
          <w:szCs w:val="20"/>
        </w:rPr>
        <w:t>3.1.1.</w:t>
      </w:r>
      <w:r w:rsidRPr="007C77ED">
        <w:rPr>
          <w:rFonts w:ascii="Arial" w:hAnsi="Arial" w:cs="Arial"/>
          <w:bCs/>
          <w:color w:val="000000"/>
          <w:sz w:val="20"/>
          <w:szCs w:val="20"/>
        </w:rPr>
        <w:t xml:space="preserve"> </w:t>
      </w:r>
      <w:r w:rsidRPr="007C77ED">
        <w:rPr>
          <w:rFonts w:ascii="Arial" w:hAnsi="Arial" w:cs="Arial"/>
          <w:iCs/>
          <w:color w:val="000000"/>
          <w:sz w:val="20"/>
          <w:szCs w:val="20"/>
        </w:rPr>
        <w:t xml:space="preserve">O prazo de entrega dos bens é de </w:t>
      </w:r>
      <w:r w:rsidRPr="007C77ED">
        <w:rPr>
          <w:rFonts w:ascii="Arial" w:hAnsi="Arial" w:cs="Arial"/>
          <w:iCs/>
          <w:color w:val="FF0000"/>
          <w:sz w:val="20"/>
          <w:szCs w:val="20"/>
          <w:highlight w:val="yellow"/>
        </w:rPr>
        <w:t>XXX</w:t>
      </w:r>
      <w:r w:rsidRPr="007C77ED">
        <w:rPr>
          <w:rFonts w:ascii="Arial" w:hAnsi="Arial" w:cs="Arial"/>
          <w:iCs/>
          <w:color w:val="FF0000"/>
          <w:sz w:val="20"/>
          <w:szCs w:val="20"/>
        </w:rPr>
        <w:t xml:space="preserve"> dias úteis</w:t>
      </w:r>
      <w:r w:rsidRPr="007C77ED">
        <w:rPr>
          <w:rFonts w:ascii="Arial" w:hAnsi="Arial" w:cs="Arial"/>
          <w:iCs/>
          <w:color w:val="000000"/>
          <w:sz w:val="20"/>
          <w:szCs w:val="20"/>
        </w:rPr>
        <w:t xml:space="preserve">, </w:t>
      </w:r>
      <w:r w:rsidRPr="007C77ED">
        <w:rPr>
          <w:rFonts w:ascii="Arial" w:hAnsi="Arial" w:cs="Arial"/>
          <w:color w:val="000000"/>
          <w:sz w:val="20"/>
          <w:szCs w:val="20"/>
        </w:rPr>
        <w:t>conforme solicitação do órgão/entidade requisitante</w:t>
      </w:r>
      <w:r w:rsidRPr="007C77ED">
        <w:rPr>
          <w:rFonts w:ascii="Arial" w:hAnsi="Arial" w:cs="Arial"/>
          <w:iCs/>
          <w:color w:val="000000"/>
          <w:sz w:val="20"/>
          <w:szCs w:val="20"/>
        </w:rPr>
        <w:t xml:space="preserve">, contados </w:t>
      </w:r>
      <w:proofErr w:type="gramStart"/>
      <w:r w:rsidRPr="007C77ED">
        <w:rPr>
          <w:rFonts w:ascii="Arial" w:hAnsi="Arial" w:cs="Arial"/>
          <w:iCs/>
          <w:color w:val="000000"/>
          <w:sz w:val="20"/>
          <w:szCs w:val="20"/>
        </w:rPr>
        <w:t>do(</w:t>
      </w:r>
      <w:proofErr w:type="gramEnd"/>
      <w:r w:rsidRPr="007C77ED">
        <w:rPr>
          <w:rFonts w:ascii="Arial" w:hAnsi="Arial" w:cs="Arial"/>
          <w:iCs/>
          <w:color w:val="000000"/>
          <w:sz w:val="20"/>
          <w:szCs w:val="20"/>
        </w:rPr>
        <w:t xml:space="preserve">a) </w:t>
      </w:r>
      <w:r w:rsidRPr="007C77ED">
        <w:rPr>
          <w:rFonts w:ascii="Arial" w:hAnsi="Arial" w:cs="Arial"/>
          <w:iCs/>
          <w:color w:val="C45911" w:themeColor="accent2" w:themeShade="BF"/>
          <w:sz w:val="20"/>
          <w:szCs w:val="20"/>
        </w:rPr>
        <w:t>(</w:t>
      </w:r>
      <w:proofErr w:type="spellStart"/>
      <w:r w:rsidRPr="007C77ED">
        <w:rPr>
          <w:rFonts w:ascii="Arial" w:hAnsi="Arial" w:cs="Arial"/>
          <w:iCs/>
          <w:color w:val="FF0000"/>
          <w:sz w:val="20"/>
          <w:szCs w:val="20"/>
        </w:rPr>
        <w:t>Ex</w:t>
      </w:r>
      <w:proofErr w:type="spellEnd"/>
      <w:r w:rsidRPr="007C77ED">
        <w:rPr>
          <w:rFonts w:ascii="Arial" w:hAnsi="Arial" w:cs="Arial"/>
          <w:iCs/>
          <w:color w:val="FF0000"/>
          <w:sz w:val="20"/>
          <w:szCs w:val="20"/>
        </w:rPr>
        <w:t xml:space="preserve">: </w:t>
      </w:r>
      <w:r w:rsidRPr="007C77ED">
        <w:rPr>
          <w:rFonts w:ascii="Arial" w:hAnsi="Arial" w:cs="Arial"/>
          <w:color w:val="FF0000"/>
          <w:sz w:val="20"/>
          <w:szCs w:val="20"/>
        </w:rPr>
        <w:t>da nota de empenho, assinatura do contrato ou instrumento equivalente)</w:t>
      </w:r>
      <w:r w:rsidRPr="007C77ED">
        <w:rPr>
          <w:rFonts w:ascii="Arial" w:hAnsi="Arial" w:cs="Arial"/>
          <w:iCs/>
          <w:color w:val="000000"/>
          <w:sz w:val="20"/>
          <w:szCs w:val="20"/>
        </w:rPr>
        <w:t xml:space="preserve">, em remessa </w:t>
      </w:r>
      <w:r w:rsidRPr="007C77ED">
        <w:rPr>
          <w:rFonts w:ascii="Arial" w:hAnsi="Arial" w:cs="Arial"/>
          <w:iCs/>
          <w:color w:val="FF0000"/>
          <w:sz w:val="20"/>
          <w:szCs w:val="20"/>
        </w:rPr>
        <w:t xml:space="preserve">(única </w:t>
      </w:r>
      <w:r w:rsidRPr="007C77ED">
        <w:rPr>
          <w:rFonts w:ascii="Arial" w:hAnsi="Arial" w:cs="Arial"/>
          <w:iCs/>
          <w:color w:val="FF0000"/>
          <w:sz w:val="20"/>
          <w:szCs w:val="20"/>
          <w:u w:val="single"/>
        </w:rPr>
        <w:t>ou</w:t>
      </w:r>
      <w:r w:rsidRPr="007C77ED">
        <w:rPr>
          <w:rFonts w:ascii="Arial" w:hAnsi="Arial" w:cs="Arial"/>
          <w:iCs/>
          <w:color w:val="FF0000"/>
          <w:sz w:val="20"/>
          <w:szCs w:val="20"/>
        </w:rPr>
        <w:t xml:space="preserve"> parcelada)</w:t>
      </w:r>
      <w:r w:rsidRPr="007C77ED">
        <w:rPr>
          <w:rFonts w:ascii="Arial" w:hAnsi="Arial" w:cs="Arial"/>
          <w:iCs/>
          <w:color w:val="000000"/>
          <w:sz w:val="20"/>
          <w:szCs w:val="20"/>
        </w:rPr>
        <w:t xml:space="preserve">, no seguinte endereço </w:t>
      </w:r>
      <w:r w:rsidRPr="007C77ED">
        <w:rPr>
          <w:rFonts w:ascii="Arial" w:hAnsi="Arial" w:cs="Arial"/>
          <w:iCs/>
          <w:color w:val="FF0000"/>
          <w:sz w:val="20"/>
          <w:szCs w:val="20"/>
          <w:highlight w:val="yellow"/>
        </w:rPr>
        <w:t>...............................</w:t>
      </w:r>
      <w:r w:rsidRPr="007C77ED">
        <w:rPr>
          <w:rFonts w:ascii="Arial" w:hAnsi="Arial" w:cs="Arial"/>
          <w:iCs/>
          <w:color w:val="FF0000"/>
          <w:sz w:val="20"/>
          <w:szCs w:val="20"/>
        </w:rPr>
        <w:t xml:space="preserve"> </w:t>
      </w:r>
      <w:r w:rsidRPr="007C77ED">
        <w:rPr>
          <w:rFonts w:ascii="Arial" w:hAnsi="Arial" w:cs="Arial"/>
          <w:color w:val="FF0000"/>
          <w:sz w:val="20"/>
          <w:szCs w:val="20"/>
        </w:rPr>
        <w:t xml:space="preserve">Este estabelecimento funciona de (Exemplo: segunda à sexta, das 07:30h às 10:30h e das 13:00h às 16:30h).     </w:t>
      </w:r>
    </w:p>
    <w:p w:rsidR="00CA7D8E" w:rsidRPr="007C77ED" w:rsidRDefault="00CA7D8E" w:rsidP="00CA7D8E">
      <w:pPr>
        <w:spacing w:after="0" w:line="240" w:lineRule="auto"/>
        <w:jc w:val="both"/>
        <w:rPr>
          <w:rFonts w:ascii="Arial" w:hAnsi="Arial" w:cs="Arial"/>
          <w:sz w:val="20"/>
          <w:szCs w:val="20"/>
        </w:rPr>
      </w:pPr>
    </w:p>
    <w:p w:rsidR="00CA7D8E" w:rsidRPr="007C77ED" w:rsidRDefault="00CA7D8E" w:rsidP="00CA7D8E">
      <w:pPr>
        <w:spacing w:after="57" w:line="240" w:lineRule="auto"/>
        <w:jc w:val="both"/>
        <w:rPr>
          <w:rFonts w:ascii="Arial" w:hAnsi="Arial" w:cs="Arial"/>
          <w:b/>
          <w:bCs/>
          <w:color w:val="000000"/>
          <w:sz w:val="20"/>
          <w:szCs w:val="20"/>
          <w:shd w:val="clear" w:color="auto" w:fill="FFFFFF"/>
        </w:rPr>
      </w:pPr>
      <w:r w:rsidRPr="007C77ED">
        <w:rPr>
          <w:rFonts w:ascii="Arial" w:hAnsi="Arial" w:cs="Arial"/>
          <w:b/>
          <w:bCs/>
          <w:color w:val="000000"/>
          <w:sz w:val="20"/>
          <w:szCs w:val="20"/>
          <w:shd w:val="clear" w:color="auto" w:fill="FFFFFF"/>
        </w:rPr>
        <w:lastRenderedPageBreak/>
        <w:t>3.2.</w:t>
      </w:r>
      <w:r w:rsidRPr="007C77ED">
        <w:rPr>
          <w:rFonts w:ascii="Arial" w:hAnsi="Arial" w:cs="Arial"/>
          <w:color w:val="000000"/>
          <w:sz w:val="20"/>
          <w:szCs w:val="20"/>
          <w:shd w:val="clear" w:color="auto" w:fill="FFFFFF"/>
        </w:rPr>
        <w:t xml:space="preserve"> As distribuidoras, no caso de vencerem o certame, devem apresentar certificado de procedência dos produtos, item a item, a ser entregue de acordo com o estabelecido na licitação, conforme o art. 6º da Portaria 2.814/1998 do Ministério da Saúde.</w:t>
      </w:r>
    </w:p>
    <w:p w:rsidR="00CA7D8E" w:rsidRPr="007C77ED" w:rsidRDefault="00CA7D8E" w:rsidP="00CA7D8E">
      <w:pPr>
        <w:spacing w:after="0" w:line="240" w:lineRule="auto"/>
        <w:jc w:val="both"/>
        <w:rPr>
          <w:rFonts w:ascii="Arial" w:hAnsi="Arial" w:cs="Arial"/>
          <w:sz w:val="20"/>
          <w:szCs w:val="20"/>
        </w:rPr>
      </w:pPr>
    </w:p>
    <w:p w:rsidR="00CA7D8E" w:rsidRPr="007C77ED" w:rsidRDefault="00CA7D8E" w:rsidP="00CA7D8E">
      <w:pPr>
        <w:spacing w:after="57" w:line="240" w:lineRule="auto"/>
        <w:jc w:val="both"/>
        <w:rPr>
          <w:rFonts w:ascii="Arial" w:hAnsi="Arial" w:cs="Arial"/>
          <w:b/>
          <w:bCs/>
          <w:color w:val="5B9BD5" w:themeColor="accent1"/>
          <w:sz w:val="20"/>
          <w:szCs w:val="20"/>
          <w:shd w:val="clear" w:color="auto" w:fill="FFFFFF"/>
        </w:rPr>
      </w:pPr>
      <w:r w:rsidRPr="007C77ED">
        <w:rPr>
          <w:rFonts w:ascii="Arial" w:hAnsi="Arial" w:cs="Arial"/>
          <w:b/>
          <w:bCs/>
          <w:color w:val="000000"/>
          <w:sz w:val="20"/>
          <w:szCs w:val="20"/>
          <w:shd w:val="clear" w:color="auto" w:fill="FFFFFF"/>
        </w:rPr>
        <w:t>3.3.</w:t>
      </w:r>
      <w:r w:rsidRPr="007C77ED">
        <w:rPr>
          <w:rFonts w:ascii="Arial" w:hAnsi="Arial" w:cs="Arial"/>
          <w:color w:val="000000"/>
          <w:sz w:val="20"/>
          <w:szCs w:val="20"/>
          <w:shd w:val="clear" w:color="auto" w:fill="FFFFFF"/>
        </w:rPr>
        <w:t xml:space="preserve"> A entrega dos medicamentos adquiridos deverá ser acompanhada dos respectivos </w:t>
      </w:r>
      <w:r w:rsidRPr="007C77ED">
        <w:rPr>
          <w:rFonts w:ascii="Arial" w:hAnsi="Arial" w:cs="Arial"/>
          <w:b/>
          <w:bCs/>
          <w:color w:val="000000"/>
          <w:sz w:val="20"/>
          <w:szCs w:val="20"/>
          <w:shd w:val="clear" w:color="auto" w:fill="FFFFFF"/>
        </w:rPr>
        <w:t>laudos de qualidade</w:t>
      </w:r>
      <w:r w:rsidRPr="007C77ED">
        <w:rPr>
          <w:rFonts w:ascii="Arial" w:hAnsi="Arial" w:cs="Arial"/>
          <w:color w:val="000000"/>
          <w:sz w:val="20"/>
          <w:szCs w:val="20"/>
          <w:shd w:val="clear" w:color="auto" w:fill="FFFFFF"/>
        </w:rPr>
        <w:t xml:space="preserve"> (art. 3º, § 4º da Lei Federal </w:t>
      </w:r>
      <w:proofErr w:type="gramStart"/>
      <w:r w:rsidRPr="007C77ED">
        <w:rPr>
          <w:rFonts w:ascii="Arial" w:hAnsi="Arial" w:cs="Arial"/>
          <w:color w:val="000000"/>
          <w:sz w:val="20"/>
          <w:szCs w:val="20"/>
          <w:shd w:val="clear" w:color="auto" w:fill="FFFFFF"/>
        </w:rPr>
        <w:t>n.º</w:t>
      </w:r>
      <w:proofErr w:type="gramEnd"/>
      <w:r w:rsidRPr="007C77ED">
        <w:rPr>
          <w:rFonts w:ascii="Arial" w:hAnsi="Arial" w:cs="Arial"/>
          <w:color w:val="000000"/>
          <w:sz w:val="20"/>
          <w:szCs w:val="20"/>
          <w:shd w:val="clear" w:color="auto" w:fill="FFFFFF"/>
        </w:rPr>
        <w:t xml:space="preserve"> 9.787</w:t>
      </w:r>
      <w:r w:rsidRPr="007C77ED">
        <w:rPr>
          <w:rFonts w:ascii="Arial" w:hAnsi="Arial" w:cs="Arial"/>
          <w:sz w:val="20"/>
          <w:szCs w:val="20"/>
          <w:shd w:val="clear" w:color="auto" w:fill="FFFFFF"/>
        </w:rPr>
        <w:t xml:space="preserve">/1999 </w:t>
      </w:r>
      <w:r w:rsidRPr="007C77ED">
        <w:rPr>
          <w:rFonts w:ascii="Arial" w:hAnsi="Arial" w:cs="Arial"/>
          <w:color w:val="000000" w:themeColor="text1"/>
          <w:sz w:val="20"/>
          <w:szCs w:val="20"/>
          <w:shd w:val="clear" w:color="auto" w:fill="FFFFFF"/>
        </w:rPr>
        <w:t>e Portaria MS nº 1.818, de 2 de dezembro de 1997).</w:t>
      </w:r>
    </w:p>
    <w:p w:rsidR="00CA7D8E" w:rsidRPr="007C77ED" w:rsidRDefault="00CA7D8E" w:rsidP="00CA7D8E">
      <w:pPr>
        <w:spacing w:after="57" w:line="240" w:lineRule="auto"/>
        <w:jc w:val="both"/>
        <w:rPr>
          <w:rFonts w:ascii="Arial" w:hAnsi="Arial" w:cs="Arial"/>
          <w:b/>
          <w:bCs/>
          <w:color w:val="000000"/>
          <w:sz w:val="20"/>
          <w:szCs w:val="20"/>
          <w:highlight w:val="magenta"/>
          <w:shd w:val="clear" w:color="auto" w:fill="FFFFFF"/>
        </w:rPr>
      </w:pPr>
    </w:p>
    <w:p w:rsidR="00CA7D8E" w:rsidRPr="007C77ED" w:rsidRDefault="00CA7D8E" w:rsidP="00CA7D8E">
      <w:pPr>
        <w:spacing w:after="57" w:line="240" w:lineRule="auto"/>
        <w:jc w:val="both"/>
        <w:rPr>
          <w:rFonts w:ascii="Arial" w:hAnsi="Arial" w:cs="Arial"/>
          <w:color w:val="000000"/>
          <w:sz w:val="20"/>
          <w:szCs w:val="20"/>
          <w:shd w:val="clear" w:color="auto" w:fill="FFFFFF"/>
        </w:rPr>
      </w:pPr>
      <w:r w:rsidRPr="007C77ED">
        <w:rPr>
          <w:rFonts w:ascii="Arial" w:hAnsi="Arial" w:cs="Arial"/>
          <w:b/>
          <w:bCs/>
          <w:color w:val="000000"/>
          <w:sz w:val="20"/>
          <w:szCs w:val="20"/>
          <w:shd w:val="clear" w:color="auto" w:fill="FFFFFF"/>
        </w:rPr>
        <w:t>3.4.</w:t>
      </w:r>
      <w:r w:rsidRPr="007C77ED">
        <w:rPr>
          <w:rFonts w:ascii="Arial" w:hAnsi="Arial" w:cs="Arial"/>
          <w:color w:val="000000"/>
          <w:sz w:val="20"/>
          <w:szCs w:val="20"/>
          <w:shd w:val="clear" w:color="auto" w:fill="FFFFFF"/>
        </w:rPr>
        <w:t xml:space="preserve"> Os medicamentos deverão ser entregues em embalagens adequadas contendo de forma visível os seguintes dizeres: “PROIBIDA A VENDA PELO COMÉRCIO” (art. 7º da Portaria nº 2.814/1998 do Ministério da Saúde e Resolução RDC Anvisa nº 71/2009). Esta informação deverá constar da embalagem de forma que não possa ser removida sem danificá-la. Em caso de latas ou frascos, deve estar no corpo da embalagem e não na tampa.</w:t>
      </w:r>
    </w:p>
    <w:p w:rsidR="00CA7D8E" w:rsidRPr="007C77ED" w:rsidRDefault="00CA7D8E" w:rsidP="00CA7D8E">
      <w:pPr>
        <w:spacing w:after="0" w:line="240" w:lineRule="auto"/>
        <w:jc w:val="both"/>
        <w:rPr>
          <w:rFonts w:ascii="Arial" w:hAnsi="Arial" w:cs="Arial"/>
          <w:color w:val="C45911" w:themeColor="accent2" w:themeShade="BF"/>
          <w:sz w:val="20"/>
          <w:szCs w:val="20"/>
          <w:highlight w:val="lightGray"/>
        </w:rPr>
      </w:pPr>
    </w:p>
    <w:p w:rsidR="00CA7D8E" w:rsidRPr="007C77ED" w:rsidRDefault="00CA7D8E" w:rsidP="00CA7D8E">
      <w:pPr>
        <w:spacing w:after="0" w:line="240" w:lineRule="auto"/>
        <w:jc w:val="both"/>
        <w:rPr>
          <w:rFonts w:ascii="Arial" w:hAnsi="Arial" w:cs="Arial"/>
          <w:color w:val="5B9BD5" w:themeColor="accent1"/>
          <w:sz w:val="20"/>
          <w:szCs w:val="20"/>
        </w:rPr>
      </w:pPr>
      <w:r w:rsidRPr="007C77ED">
        <w:rPr>
          <w:rFonts w:ascii="Arial" w:hAnsi="Arial" w:cs="Arial"/>
          <w:b/>
          <w:bCs/>
          <w:sz w:val="20"/>
          <w:szCs w:val="20"/>
        </w:rPr>
        <w:t>3.5.</w:t>
      </w:r>
      <w:r w:rsidRPr="007C77ED">
        <w:rPr>
          <w:rFonts w:ascii="Arial" w:hAnsi="Arial" w:cs="Arial"/>
          <w:sz w:val="20"/>
          <w:szCs w:val="20"/>
        </w:rPr>
        <w:t xml:space="preserve"> </w:t>
      </w:r>
      <w:r w:rsidRPr="007C77ED">
        <w:rPr>
          <w:rFonts w:ascii="Arial" w:hAnsi="Arial" w:cs="Arial"/>
          <w:color w:val="000000"/>
          <w:sz w:val="20"/>
          <w:szCs w:val="20"/>
        </w:rPr>
        <w:t xml:space="preserve">Os medicamentos ofertados deverão estar devidamente registrados no Ministério da Saúde, devendo estar estampado na embalagem de forma clara e legível o número do registro, nos termos do art. 7º, IX, da Lei n. 9.782/1999 e </w:t>
      </w:r>
      <w:proofErr w:type="spellStart"/>
      <w:r w:rsidRPr="007C77ED">
        <w:rPr>
          <w:rFonts w:ascii="Arial" w:hAnsi="Arial" w:cs="Arial"/>
          <w:color w:val="000000"/>
          <w:sz w:val="20"/>
          <w:szCs w:val="20"/>
        </w:rPr>
        <w:t>arts</w:t>
      </w:r>
      <w:proofErr w:type="spellEnd"/>
      <w:r w:rsidRPr="007C77ED">
        <w:rPr>
          <w:rFonts w:ascii="Arial" w:hAnsi="Arial" w:cs="Arial"/>
          <w:color w:val="000000"/>
          <w:sz w:val="20"/>
          <w:szCs w:val="20"/>
        </w:rPr>
        <w:t>. 12, 16 a 24-B, da Lei n. 6.360/1976.</w:t>
      </w:r>
    </w:p>
    <w:p w:rsidR="00CA7D8E" w:rsidRPr="007C77ED" w:rsidRDefault="00CA7D8E" w:rsidP="00CA7D8E">
      <w:pPr>
        <w:spacing w:after="57" w:line="240" w:lineRule="auto"/>
        <w:jc w:val="both"/>
        <w:rPr>
          <w:rFonts w:ascii="Arial" w:hAnsi="Arial" w:cs="Arial"/>
          <w:color w:val="000000"/>
          <w:sz w:val="20"/>
          <w:szCs w:val="20"/>
          <w:shd w:val="clear" w:color="auto" w:fill="FFFFFF"/>
        </w:rPr>
      </w:pPr>
    </w:p>
    <w:p w:rsidR="00CA7D8E" w:rsidRPr="007C77ED" w:rsidRDefault="00CA7D8E" w:rsidP="00CA7D8E">
      <w:pPr>
        <w:spacing w:after="0" w:line="240" w:lineRule="auto"/>
        <w:jc w:val="both"/>
        <w:rPr>
          <w:rFonts w:ascii="Arial" w:hAnsi="Arial" w:cs="Arial"/>
          <w:color w:val="000000"/>
          <w:sz w:val="20"/>
          <w:szCs w:val="20"/>
        </w:rPr>
      </w:pPr>
      <w:r w:rsidRPr="007C77ED">
        <w:rPr>
          <w:rFonts w:ascii="Arial" w:hAnsi="Arial" w:cs="Arial"/>
          <w:b/>
          <w:color w:val="000000"/>
          <w:sz w:val="20"/>
          <w:szCs w:val="20"/>
        </w:rPr>
        <w:t>3.6.</w:t>
      </w:r>
      <w:r w:rsidRPr="007C77ED">
        <w:rPr>
          <w:rFonts w:ascii="Arial" w:hAnsi="Arial" w:cs="Arial"/>
          <w:color w:val="000000"/>
          <w:sz w:val="20"/>
          <w:szCs w:val="20"/>
        </w:rPr>
        <w:t xml:space="preserve"> Os medicamentos sairão da indústria em embalagens apropriadas e lacradas, que garantam a sua validade na temperatura especificada pelo fabricante no rótulo, devendo estar acondicionados em embalagem original da fabricante, com o nome do responsável técnico, lote, data de fabricação e validade estampada. </w:t>
      </w:r>
    </w:p>
    <w:p w:rsidR="00CA7D8E" w:rsidRPr="007C77ED" w:rsidRDefault="00CA7D8E" w:rsidP="00CA7D8E">
      <w:pPr>
        <w:spacing w:after="0" w:line="240" w:lineRule="auto"/>
        <w:jc w:val="both"/>
        <w:rPr>
          <w:rFonts w:ascii="Arial" w:hAnsi="Arial" w:cs="Arial"/>
          <w:color w:val="000000"/>
          <w:sz w:val="20"/>
          <w:szCs w:val="20"/>
        </w:rPr>
      </w:pPr>
    </w:p>
    <w:p w:rsidR="00CA7D8E" w:rsidRPr="007C77ED" w:rsidRDefault="00CA7D8E" w:rsidP="00CA7D8E">
      <w:pPr>
        <w:spacing w:after="0" w:line="240" w:lineRule="auto"/>
        <w:jc w:val="both"/>
        <w:rPr>
          <w:rFonts w:ascii="Arial" w:hAnsi="Arial" w:cs="Arial"/>
          <w:sz w:val="20"/>
          <w:szCs w:val="20"/>
        </w:rPr>
      </w:pPr>
      <w:r w:rsidRPr="007C77ED">
        <w:rPr>
          <w:rFonts w:ascii="Arial" w:hAnsi="Arial" w:cs="Arial"/>
          <w:b/>
          <w:sz w:val="20"/>
          <w:szCs w:val="20"/>
        </w:rPr>
        <w:t>3.7.</w:t>
      </w:r>
      <w:r w:rsidRPr="007C77ED">
        <w:rPr>
          <w:rFonts w:ascii="Arial" w:hAnsi="Arial" w:cs="Arial"/>
          <w:sz w:val="20"/>
          <w:szCs w:val="20"/>
        </w:rPr>
        <w:t xml:space="preserve"> Os medicamentos ofertados deverão ser entregues embalados de forma a não serem danificados durante as operações de transporte e descarga no local da entrega.</w:t>
      </w:r>
    </w:p>
    <w:p w:rsidR="00CA7D8E" w:rsidRPr="007C77ED" w:rsidRDefault="00CA7D8E" w:rsidP="00CA7D8E">
      <w:pPr>
        <w:spacing w:after="0" w:line="240" w:lineRule="auto"/>
        <w:jc w:val="both"/>
        <w:rPr>
          <w:rFonts w:ascii="Arial" w:hAnsi="Arial" w:cs="Arial"/>
          <w:color w:val="000000"/>
          <w:sz w:val="20"/>
          <w:szCs w:val="20"/>
        </w:rPr>
      </w:pPr>
    </w:p>
    <w:p w:rsidR="00CA7D8E" w:rsidRPr="007C77ED" w:rsidRDefault="00CA7D8E" w:rsidP="00CA7D8E">
      <w:pPr>
        <w:spacing w:after="0" w:line="240" w:lineRule="auto"/>
        <w:jc w:val="both"/>
        <w:rPr>
          <w:rFonts w:ascii="Arial" w:hAnsi="Arial" w:cs="Arial"/>
          <w:color w:val="000000"/>
          <w:sz w:val="20"/>
          <w:szCs w:val="20"/>
        </w:rPr>
      </w:pPr>
      <w:r w:rsidRPr="007C77ED">
        <w:rPr>
          <w:rFonts w:ascii="Arial" w:hAnsi="Arial" w:cs="Arial"/>
          <w:b/>
          <w:color w:val="212121"/>
          <w:sz w:val="20"/>
          <w:szCs w:val="20"/>
        </w:rPr>
        <w:t>3.7.1.</w:t>
      </w:r>
      <w:r w:rsidRPr="007C77ED">
        <w:rPr>
          <w:rFonts w:ascii="Arial" w:hAnsi="Arial" w:cs="Arial"/>
          <w:color w:val="212121"/>
          <w:sz w:val="20"/>
          <w:szCs w:val="20"/>
        </w:rPr>
        <w:t xml:space="preserve"> </w:t>
      </w:r>
      <w:r w:rsidRPr="007C77ED">
        <w:rPr>
          <w:rFonts w:ascii="Arial" w:hAnsi="Arial" w:cs="Arial"/>
          <w:color w:val="000000"/>
          <w:sz w:val="20"/>
          <w:szCs w:val="20"/>
        </w:rPr>
        <w:t xml:space="preserve">O acondicionamento e o transporte dos medicamentos devem ser feitos de acordo com o exigido para cada produto, devidamente protegido de pó e de variações de temperaturas, especialmente no caso de medicamentos </w:t>
      </w:r>
      <w:proofErr w:type="spellStart"/>
      <w:r w:rsidRPr="007C77ED">
        <w:rPr>
          <w:rFonts w:ascii="Arial" w:hAnsi="Arial" w:cs="Arial"/>
          <w:color w:val="000000"/>
          <w:sz w:val="20"/>
          <w:szCs w:val="20"/>
        </w:rPr>
        <w:t>termolábeis</w:t>
      </w:r>
      <w:proofErr w:type="spellEnd"/>
      <w:r w:rsidRPr="007C77ED">
        <w:rPr>
          <w:rFonts w:ascii="Arial" w:hAnsi="Arial" w:cs="Arial"/>
          <w:color w:val="000000"/>
          <w:sz w:val="20"/>
          <w:szCs w:val="20"/>
        </w:rPr>
        <w:t xml:space="preserve">, de modo a garantir a qualidade e integridade dos mesmos.  </w:t>
      </w:r>
    </w:p>
    <w:p w:rsidR="00CA7D8E" w:rsidRPr="007C77ED" w:rsidRDefault="00CA7D8E" w:rsidP="00CA7D8E">
      <w:pPr>
        <w:spacing w:after="0" w:line="240" w:lineRule="auto"/>
        <w:jc w:val="both"/>
        <w:rPr>
          <w:rFonts w:ascii="Arial" w:hAnsi="Arial" w:cs="Arial"/>
          <w:b/>
          <w:sz w:val="20"/>
          <w:szCs w:val="20"/>
          <w:highlight w:val="green"/>
        </w:rPr>
      </w:pPr>
    </w:p>
    <w:p w:rsidR="00CA7D8E" w:rsidRPr="007C77ED" w:rsidRDefault="00CA7D8E" w:rsidP="00CA7D8E">
      <w:pPr>
        <w:spacing w:after="0" w:line="240" w:lineRule="auto"/>
        <w:jc w:val="both"/>
        <w:rPr>
          <w:rFonts w:ascii="Arial" w:hAnsi="Arial" w:cs="Arial"/>
          <w:sz w:val="20"/>
          <w:szCs w:val="20"/>
        </w:rPr>
      </w:pPr>
      <w:r w:rsidRPr="007C77ED">
        <w:rPr>
          <w:rFonts w:ascii="Arial" w:hAnsi="Arial" w:cs="Arial"/>
          <w:b/>
          <w:sz w:val="20"/>
          <w:szCs w:val="20"/>
        </w:rPr>
        <w:t>3.7.2.</w:t>
      </w:r>
      <w:r w:rsidRPr="007C77ED">
        <w:rPr>
          <w:rFonts w:ascii="Arial" w:hAnsi="Arial" w:cs="Arial"/>
          <w:sz w:val="20"/>
          <w:szCs w:val="20"/>
        </w:rPr>
        <w:t xml:space="preserve"> Deverá ser apresentado, no momento da entrega dos medicamentos, a cópia do </w:t>
      </w:r>
      <w:r w:rsidRPr="007C77ED">
        <w:rPr>
          <w:rFonts w:ascii="Arial" w:hAnsi="Arial" w:cs="Arial"/>
          <w:b/>
          <w:bCs/>
          <w:sz w:val="20"/>
          <w:szCs w:val="20"/>
        </w:rPr>
        <w:t xml:space="preserve">Alvará ou Certificado de Licença Sanitária do </w:t>
      </w:r>
      <w:r w:rsidRPr="007C77ED">
        <w:rPr>
          <w:rFonts w:ascii="Arial" w:hAnsi="Arial" w:cs="Arial"/>
          <w:b/>
          <w:bCs/>
          <w:sz w:val="20"/>
          <w:szCs w:val="20"/>
          <w:u w:val="single"/>
        </w:rPr>
        <w:t>veículo</w:t>
      </w:r>
      <w:r w:rsidRPr="007C77ED">
        <w:rPr>
          <w:rFonts w:ascii="Arial" w:hAnsi="Arial" w:cs="Arial"/>
          <w:b/>
          <w:bCs/>
          <w:sz w:val="20"/>
          <w:szCs w:val="20"/>
        </w:rPr>
        <w:t xml:space="preserve"> que os transportou</w:t>
      </w:r>
      <w:r w:rsidRPr="007C77ED">
        <w:rPr>
          <w:rFonts w:ascii="Arial" w:hAnsi="Arial" w:cs="Arial"/>
          <w:sz w:val="20"/>
          <w:szCs w:val="20"/>
        </w:rPr>
        <w:t>, pertinente com os medicamentos ofertados e expedido pelo órgão competente da sua respectiva esfera Estadual ou Municipal, em cumprimento ao disposto no parágrafo único do artigo 61 da Lei Federal nº 6.360/76 e art. 15 do Decreto Federal nº 8.077/2013.</w:t>
      </w:r>
    </w:p>
    <w:p w:rsidR="00CA7D8E" w:rsidRPr="007C77ED" w:rsidRDefault="00CA7D8E" w:rsidP="00CA7D8E">
      <w:pPr>
        <w:spacing w:after="0" w:line="240" w:lineRule="auto"/>
        <w:jc w:val="both"/>
        <w:rPr>
          <w:rFonts w:ascii="Arial" w:hAnsi="Arial" w:cs="Arial"/>
          <w:sz w:val="20"/>
          <w:szCs w:val="20"/>
        </w:rPr>
      </w:pPr>
    </w:p>
    <w:p w:rsidR="00CA7D8E" w:rsidRPr="007C77ED" w:rsidRDefault="00CA7D8E" w:rsidP="00CA7D8E">
      <w:pPr>
        <w:spacing w:after="0" w:line="240" w:lineRule="auto"/>
        <w:jc w:val="both"/>
        <w:rPr>
          <w:rFonts w:ascii="Arial" w:hAnsi="Arial" w:cs="Arial"/>
          <w:color w:val="000000"/>
          <w:sz w:val="20"/>
          <w:szCs w:val="20"/>
        </w:rPr>
      </w:pPr>
      <w:r w:rsidRPr="007C77ED">
        <w:rPr>
          <w:rFonts w:ascii="Arial" w:hAnsi="Arial" w:cs="Arial"/>
          <w:b/>
          <w:color w:val="000000"/>
          <w:sz w:val="20"/>
          <w:szCs w:val="20"/>
        </w:rPr>
        <w:t>3.8.</w:t>
      </w:r>
      <w:r w:rsidRPr="007C77ED">
        <w:rPr>
          <w:rFonts w:ascii="Arial" w:hAnsi="Arial" w:cs="Arial"/>
          <w:color w:val="000000"/>
          <w:sz w:val="20"/>
          <w:szCs w:val="20"/>
        </w:rPr>
        <w:t xml:space="preserve"> Os medicamentos deverão conter, no ato da entrega, no mínimo </w:t>
      </w:r>
      <w:r w:rsidRPr="007C77ED">
        <w:rPr>
          <w:rFonts w:ascii="Arial" w:hAnsi="Arial" w:cs="Arial"/>
          <w:color w:val="FF0000"/>
          <w:sz w:val="20"/>
          <w:szCs w:val="20"/>
          <w:highlight w:val="yellow"/>
        </w:rPr>
        <w:t>...%</w:t>
      </w:r>
      <w:r w:rsidRPr="007C77ED">
        <w:rPr>
          <w:rFonts w:ascii="Arial" w:hAnsi="Arial" w:cs="Arial"/>
          <w:color w:val="000000"/>
          <w:sz w:val="20"/>
          <w:szCs w:val="20"/>
          <w:highlight w:val="yellow"/>
        </w:rPr>
        <w:t xml:space="preserve"> </w:t>
      </w:r>
      <w:proofErr w:type="gramStart"/>
      <w:r w:rsidRPr="007C77ED">
        <w:rPr>
          <w:rFonts w:ascii="Arial" w:hAnsi="Arial" w:cs="Arial"/>
          <w:color w:val="FF0000"/>
          <w:sz w:val="20"/>
          <w:szCs w:val="20"/>
          <w:highlight w:val="yellow"/>
        </w:rPr>
        <w:t>(....</w:t>
      </w:r>
      <w:proofErr w:type="gramEnd"/>
      <w:r w:rsidRPr="007C77ED">
        <w:rPr>
          <w:rFonts w:ascii="Arial" w:hAnsi="Arial" w:cs="Arial"/>
          <w:color w:val="FF0000"/>
          <w:sz w:val="20"/>
          <w:szCs w:val="20"/>
          <w:highlight w:val="yellow"/>
        </w:rPr>
        <w:t xml:space="preserve">. </w:t>
      </w:r>
      <w:proofErr w:type="gramStart"/>
      <w:r w:rsidRPr="007C77ED">
        <w:rPr>
          <w:rFonts w:ascii="Arial" w:hAnsi="Arial" w:cs="Arial"/>
          <w:color w:val="FF0000"/>
          <w:sz w:val="20"/>
          <w:szCs w:val="20"/>
          <w:highlight w:val="yellow"/>
        </w:rPr>
        <w:t>por</w:t>
      </w:r>
      <w:proofErr w:type="gramEnd"/>
      <w:r w:rsidRPr="007C77ED">
        <w:rPr>
          <w:rFonts w:ascii="Arial" w:hAnsi="Arial" w:cs="Arial"/>
          <w:color w:val="FF0000"/>
          <w:sz w:val="20"/>
          <w:szCs w:val="20"/>
          <w:highlight w:val="yellow"/>
        </w:rPr>
        <w:t xml:space="preserve"> cento)</w:t>
      </w:r>
      <w:r w:rsidRPr="007C77ED">
        <w:rPr>
          <w:rFonts w:ascii="Arial" w:hAnsi="Arial" w:cs="Arial"/>
          <w:color w:val="FF0000"/>
          <w:sz w:val="20"/>
          <w:szCs w:val="20"/>
        </w:rPr>
        <w:t xml:space="preserve"> </w:t>
      </w:r>
      <w:r w:rsidRPr="007C77ED">
        <w:rPr>
          <w:rFonts w:ascii="Arial" w:hAnsi="Arial" w:cs="Arial"/>
          <w:color w:val="000000"/>
          <w:sz w:val="20"/>
          <w:szCs w:val="20"/>
        </w:rPr>
        <w:t xml:space="preserve">do seu respectivo prazo de validade, </w:t>
      </w:r>
      <w:r w:rsidRPr="007C77ED">
        <w:rPr>
          <w:rFonts w:ascii="Arial" w:hAnsi="Arial" w:cs="Arial"/>
          <w:color w:val="FF0000"/>
          <w:sz w:val="20"/>
          <w:szCs w:val="20"/>
        </w:rPr>
        <w:t>contados da data de fabricação</w:t>
      </w:r>
      <w:r w:rsidRPr="007C77ED">
        <w:rPr>
          <w:rFonts w:ascii="Arial" w:hAnsi="Arial" w:cs="Arial"/>
          <w:color w:val="000000"/>
          <w:sz w:val="20"/>
          <w:szCs w:val="20"/>
        </w:rPr>
        <w:t xml:space="preserve">.     </w:t>
      </w:r>
    </w:p>
    <w:p w:rsidR="00CA7D8E" w:rsidRPr="007C77ED" w:rsidRDefault="00CA7D8E" w:rsidP="00CA7D8E">
      <w:pPr>
        <w:spacing w:after="0" w:line="240" w:lineRule="auto"/>
        <w:jc w:val="both"/>
        <w:rPr>
          <w:rFonts w:ascii="Arial" w:hAnsi="Arial" w:cs="Arial"/>
          <w:color w:val="000000"/>
          <w:sz w:val="20"/>
          <w:szCs w:val="20"/>
        </w:rPr>
      </w:pPr>
    </w:p>
    <w:p w:rsidR="00CA7D8E" w:rsidRPr="007C77ED" w:rsidRDefault="00CA7D8E" w:rsidP="00CA7D8E">
      <w:pPr>
        <w:spacing w:after="57" w:line="240" w:lineRule="auto"/>
        <w:jc w:val="both"/>
        <w:rPr>
          <w:rFonts w:ascii="Arial" w:hAnsi="Arial" w:cs="Arial"/>
          <w:b/>
          <w:bCs/>
          <w:sz w:val="20"/>
          <w:szCs w:val="20"/>
          <w:shd w:val="clear" w:color="auto" w:fill="FFFFFF"/>
        </w:rPr>
      </w:pPr>
      <w:r w:rsidRPr="007C77ED">
        <w:rPr>
          <w:rFonts w:ascii="Arial" w:hAnsi="Arial" w:cs="Arial"/>
          <w:b/>
          <w:bCs/>
          <w:sz w:val="20"/>
          <w:szCs w:val="20"/>
          <w:shd w:val="clear" w:color="auto" w:fill="FFFFFF"/>
        </w:rPr>
        <w:t>3.8.1.</w:t>
      </w:r>
      <w:r w:rsidRPr="007C77ED">
        <w:rPr>
          <w:rFonts w:ascii="Arial" w:hAnsi="Arial" w:cs="Arial"/>
          <w:sz w:val="20"/>
          <w:szCs w:val="20"/>
          <w:shd w:val="clear" w:color="auto" w:fill="FFFFFF"/>
        </w:rPr>
        <w:t xml:space="preserve"> O Contratante se reserva o direito de não receber nenhum produto com prazo de validade inferior ao especificado no item 3.8, ressalvados os casos de interesse da Administração, desde que exista solicitação prévia da Contratada e justificativa expressa do órgão interessado, caso em que será formalizado o compromisso de troca de todo o quantitativo não utilizado. </w:t>
      </w:r>
    </w:p>
    <w:p w:rsidR="00CA7D8E" w:rsidRPr="007C77ED" w:rsidRDefault="00CA7D8E" w:rsidP="00CA7D8E">
      <w:pPr>
        <w:spacing w:after="57" w:line="240" w:lineRule="auto"/>
        <w:jc w:val="both"/>
        <w:rPr>
          <w:rFonts w:ascii="Arial" w:hAnsi="Arial" w:cs="Arial"/>
          <w:b/>
          <w:bCs/>
          <w:sz w:val="20"/>
          <w:szCs w:val="20"/>
          <w:shd w:val="clear" w:color="auto" w:fill="FFFFFF"/>
        </w:rPr>
      </w:pPr>
    </w:p>
    <w:p w:rsidR="00CA7D8E" w:rsidRPr="007C77ED" w:rsidRDefault="00CA7D8E" w:rsidP="00CA7D8E">
      <w:pPr>
        <w:spacing w:after="57" w:line="240" w:lineRule="auto"/>
        <w:jc w:val="both"/>
        <w:rPr>
          <w:rFonts w:ascii="Arial" w:hAnsi="Arial" w:cs="Arial"/>
          <w:b/>
          <w:bCs/>
          <w:sz w:val="20"/>
          <w:szCs w:val="20"/>
          <w:shd w:val="clear" w:color="auto" w:fill="FFFFFF"/>
        </w:rPr>
      </w:pPr>
      <w:r w:rsidRPr="007C77ED">
        <w:rPr>
          <w:rFonts w:ascii="Arial" w:hAnsi="Arial" w:cs="Arial"/>
          <w:b/>
          <w:bCs/>
          <w:sz w:val="20"/>
          <w:szCs w:val="20"/>
          <w:shd w:val="clear" w:color="auto" w:fill="FFFFFF"/>
        </w:rPr>
        <w:t>3.8.1.1.</w:t>
      </w:r>
      <w:r w:rsidRPr="007C77ED">
        <w:rPr>
          <w:rFonts w:ascii="Arial" w:hAnsi="Arial" w:cs="Arial"/>
          <w:sz w:val="20"/>
          <w:szCs w:val="20"/>
          <w:shd w:val="clear" w:color="auto" w:fill="FFFFFF"/>
        </w:rPr>
        <w:t xml:space="preserve"> A carta de comprometimento de troca deverá acompanhar a nota fiscal no ato da entrega.</w:t>
      </w:r>
    </w:p>
    <w:p w:rsidR="00CA7D8E" w:rsidRPr="007C77ED" w:rsidRDefault="00CA7D8E" w:rsidP="00CA7D8E">
      <w:pPr>
        <w:spacing w:after="57" w:line="240" w:lineRule="auto"/>
        <w:jc w:val="both"/>
        <w:rPr>
          <w:rFonts w:ascii="Arial" w:hAnsi="Arial" w:cs="Arial"/>
          <w:b/>
          <w:bCs/>
          <w:sz w:val="20"/>
          <w:szCs w:val="20"/>
          <w:shd w:val="clear" w:color="auto" w:fill="FFFFFF"/>
        </w:rPr>
      </w:pPr>
    </w:p>
    <w:p w:rsidR="00CA7D8E" w:rsidRPr="007C77ED" w:rsidRDefault="00CA7D8E" w:rsidP="00CA7D8E">
      <w:pPr>
        <w:spacing w:after="57" w:line="240" w:lineRule="auto"/>
        <w:jc w:val="both"/>
        <w:rPr>
          <w:rFonts w:ascii="Arial" w:hAnsi="Arial" w:cs="Arial"/>
          <w:sz w:val="20"/>
          <w:szCs w:val="20"/>
          <w:shd w:val="clear" w:color="auto" w:fill="FFFFFF"/>
        </w:rPr>
      </w:pPr>
      <w:r w:rsidRPr="007C77ED">
        <w:rPr>
          <w:rFonts w:ascii="Arial" w:hAnsi="Arial" w:cs="Arial"/>
          <w:b/>
          <w:bCs/>
          <w:sz w:val="20"/>
          <w:szCs w:val="20"/>
          <w:shd w:val="clear" w:color="auto" w:fill="FFFFFF"/>
        </w:rPr>
        <w:t>3.8.1.2.</w:t>
      </w:r>
      <w:r w:rsidRPr="007C77ED">
        <w:rPr>
          <w:rFonts w:ascii="Arial" w:hAnsi="Arial" w:cs="Arial"/>
          <w:sz w:val="20"/>
          <w:szCs w:val="20"/>
          <w:shd w:val="clear" w:color="auto" w:fill="FFFFFF"/>
        </w:rPr>
        <w:t xml:space="preserve"> A solicitação de troca e coleta do quantitativo não utilizado será realizada pelo Contratante </w:t>
      </w:r>
      <w:r w:rsidRPr="007C77ED">
        <w:rPr>
          <w:rFonts w:ascii="Arial" w:hAnsi="Arial" w:cs="Arial"/>
          <w:color w:val="FF0000"/>
          <w:sz w:val="20"/>
          <w:szCs w:val="20"/>
          <w:shd w:val="clear" w:color="auto" w:fill="FFFFFF"/>
        </w:rPr>
        <w:t>60 (sessenta) dias</w:t>
      </w:r>
      <w:r w:rsidRPr="007C77ED">
        <w:rPr>
          <w:rFonts w:ascii="Arial" w:hAnsi="Arial" w:cs="Arial"/>
          <w:sz w:val="20"/>
          <w:szCs w:val="20"/>
          <w:shd w:val="clear" w:color="auto" w:fill="FFFFFF"/>
        </w:rPr>
        <w:t xml:space="preserve"> antes do vencimento do produto.</w:t>
      </w:r>
    </w:p>
    <w:p w:rsidR="00CA7D8E" w:rsidRPr="007C77ED" w:rsidRDefault="00CA7D8E" w:rsidP="00CA7D8E">
      <w:pPr>
        <w:spacing w:after="57" w:line="240" w:lineRule="auto"/>
        <w:jc w:val="both"/>
        <w:rPr>
          <w:rFonts w:ascii="Arial" w:hAnsi="Arial" w:cs="Arial"/>
          <w:b/>
          <w:bCs/>
          <w:sz w:val="20"/>
          <w:szCs w:val="20"/>
          <w:shd w:val="clear" w:color="auto" w:fill="FFFFFF"/>
        </w:rPr>
      </w:pPr>
    </w:p>
    <w:p w:rsidR="00CA7D8E" w:rsidRPr="007C77ED" w:rsidRDefault="00CA7D8E" w:rsidP="00CA7D8E">
      <w:pPr>
        <w:spacing w:after="57" w:line="240" w:lineRule="auto"/>
        <w:jc w:val="both"/>
        <w:rPr>
          <w:rFonts w:ascii="Arial" w:hAnsi="Arial" w:cs="Arial"/>
          <w:b/>
          <w:bCs/>
          <w:sz w:val="20"/>
          <w:szCs w:val="20"/>
          <w:shd w:val="clear" w:color="auto" w:fill="FFFFFF"/>
        </w:rPr>
      </w:pPr>
      <w:r w:rsidRPr="007C77ED">
        <w:rPr>
          <w:rFonts w:ascii="Arial" w:hAnsi="Arial" w:cs="Arial"/>
          <w:b/>
          <w:bCs/>
          <w:sz w:val="20"/>
          <w:szCs w:val="20"/>
          <w:shd w:val="clear" w:color="auto" w:fill="FFFFFF"/>
        </w:rPr>
        <w:t>3.8.1.3.</w:t>
      </w:r>
      <w:r w:rsidRPr="007C77ED">
        <w:rPr>
          <w:rFonts w:ascii="Arial" w:hAnsi="Arial" w:cs="Arial"/>
          <w:sz w:val="20"/>
          <w:szCs w:val="20"/>
          <w:shd w:val="clear" w:color="auto" w:fill="FFFFFF"/>
        </w:rPr>
        <w:t xml:space="preserve"> A troca deverá ser realizada em até </w:t>
      </w:r>
      <w:r w:rsidRPr="007C77ED">
        <w:rPr>
          <w:rFonts w:ascii="Arial" w:hAnsi="Arial" w:cs="Arial"/>
          <w:color w:val="FF0000"/>
          <w:sz w:val="20"/>
          <w:szCs w:val="20"/>
          <w:shd w:val="clear" w:color="auto" w:fill="FFFFFF"/>
        </w:rPr>
        <w:t xml:space="preserve">30 (trinta) dias </w:t>
      </w:r>
      <w:r w:rsidRPr="007C77ED">
        <w:rPr>
          <w:rFonts w:ascii="Arial" w:hAnsi="Arial" w:cs="Arial"/>
          <w:sz w:val="20"/>
          <w:szCs w:val="20"/>
          <w:shd w:val="clear" w:color="auto" w:fill="FFFFFF"/>
        </w:rPr>
        <w:t>após a solicitação da Contratante.</w:t>
      </w:r>
    </w:p>
    <w:p w:rsidR="00CA7D8E" w:rsidRPr="007C77ED" w:rsidRDefault="00CA7D8E" w:rsidP="00CA7D8E">
      <w:pPr>
        <w:spacing w:after="57" w:line="240" w:lineRule="auto"/>
        <w:jc w:val="both"/>
        <w:rPr>
          <w:rFonts w:ascii="Arial" w:hAnsi="Arial" w:cs="Arial"/>
          <w:b/>
          <w:bCs/>
          <w:sz w:val="20"/>
          <w:szCs w:val="20"/>
          <w:shd w:val="clear" w:color="auto" w:fill="FFFFFF"/>
        </w:rPr>
      </w:pPr>
    </w:p>
    <w:p w:rsidR="00CA7D8E" w:rsidRPr="007C77ED" w:rsidRDefault="00CA7D8E" w:rsidP="00CA7D8E">
      <w:pPr>
        <w:spacing w:after="57" w:line="240" w:lineRule="auto"/>
        <w:jc w:val="both"/>
        <w:rPr>
          <w:rFonts w:ascii="Arial" w:hAnsi="Arial" w:cs="Arial"/>
          <w:sz w:val="20"/>
          <w:szCs w:val="20"/>
          <w:shd w:val="clear" w:color="auto" w:fill="FFFFFF"/>
        </w:rPr>
      </w:pPr>
      <w:r w:rsidRPr="007C77ED">
        <w:rPr>
          <w:rFonts w:ascii="Arial" w:hAnsi="Arial" w:cs="Arial"/>
          <w:b/>
          <w:bCs/>
          <w:sz w:val="20"/>
          <w:szCs w:val="20"/>
          <w:shd w:val="clear" w:color="auto" w:fill="FFFFFF"/>
        </w:rPr>
        <w:t>3.8.1.4.</w:t>
      </w:r>
      <w:r w:rsidRPr="007C77ED">
        <w:rPr>
          <w:rFonts w:ascii="Arial" w:hAnsi="Arial" w:cs="Arial"/>
          <w:sz w:val="20"/>
          <w:szCs w:val="20"/>
          <w:shd w:val="clear" w:color="auto" w:fill="FFFFFF"/>
        </w:rPr>
        <w:t xml:space="preserve"> No ato da entrega de medicamentos garantidos pela carta de comprometimento de troca, a nota fiscal apresentada deve informar que o produto é referente a uma reposição por troca, especificando a nota fiscal e empenho de origem.</w:t>
      </w:r>
    </w:p>
    <w:p w:rsidR="00CA7D8E" w:rsidRPr="007C77ED" w:rsidRDefault="00CA7D8E" w:rsidP="00CA7D8E">
      <w:pPr>
        <w:spacing w:after="57" w:line="240" w:lineRule="auto"/>
        <w:jc w:val="both"/>
        <w:rPr>
          <w:rFonts w:ascii="Arial" w:hAnsi="Arial" w:cs="Arial"/>
          <w:sz w:val="20"/>
          <w:szCs w:val="20"/>
          <w:shd w:val="clear" w:color="auto" w:fill="FFFFFF"/>
        </w:rPr>
      </w:pPr>
    </w:p>
    <w:p w:rsidR="00CA7D8E" w:rsidRPr="007C77ED" w:rsidRDefault="00CA7D8E" w:rsidP="00CA7D8E">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b/>
          <w:sz w:val="20"/>
          <w:szCs w:val="20"/>
        </w:rPr>
      </w:pPr>
      <w:r w:rsidRPr="007C77ED">
        <w:rPr>
          <w:rFonts w:ascii="Arial" w:hAnsi="Arial" w:cs="Arial"/>
          <w:b/>
          <w:sz w:val="20"/>
          <w:szCs w:val="20"/>
        </w:rPr>
        <w:t>Orientações práticas:</w:t>
      </w:r>
    </w:p>
    <w:p w:rsidR="00CA7D8E" w:rsidRPr="007C77ED" w:rsidRDefault="00CA7D8E" w:rsidP="00CA7D8E">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sz w:val="20"/>
          <w:szCs w:val="20"/>
        </w:rPr>
        <w:t>O dimensionamento e o controle de estoques de medicamentos são fatores decisivos para o sucesso ou fracasso da gestão da assistência farmacêutica, estando intimamente relacionados com as faltas e os desperdícios.</w:t>
      </w:r>
    </w:p>
    <w:p w:rsidR="00CA7D8E" w:rsidRPr="007C77ED" w:rsidRDefault="00CA7D8E" w:rsidP="00CA7D8E">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sz w:val="20"/>
          <w:szCs w:val="20"/>
        </w:rPr>
        <w:t>Nesse sentido, no subitem 3.8 o campo em vermelho deverá ser preenchido pela área técnica com o prazo de validade mínima do medicamento, a partir de atos normativos que regulem o tema, se existentes, ou observando a necessidade logística da unidade contratante e as práticas de mercado.</w:t>
      </w:r>
    </w:p>
    <w:p w:rsidR="00CA7D8E" w:rsidRPr="007C77ED" w:rsidRDefault="00CA7D8E" w:rsidP="00CA7D8E">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sz w:val="20"/>
          <w:szCs w:val="20"/>
        </w:rPr>
        <w:t>A excepcionalidade trazida no subitem 3.8.1 se faz necessária uma vez que, em muitos casos de recebimento, a situação de abastecimento da unidade demandante poderá estar com o estoque zerado. Para essas situações, é razoável a Administração aceitar medicamento com validade abaixo do percentual exigidos no subitem 3.8, com o comprometimento do fornecedor realizar a troca em caso de vencimento do produto, pois assim a unidade demandante terá condições de prestar a devida assistência à saúde dos pacientes.</w:t>
      </w:r>
    </w:p>
    <w:p w:rsidR="00CA7D8E" w:rsidRPr="007C77ED" w:rsidRDefault="00CA7D8E" w:rsidP="00CA7D8E">
      <w:pPr>
        <w:spacing w:after="57" w:line="240" w:lineRule="auto"/>
        <w:jc w:val="both"/>
        <w:rPr>
          <w:rFonts w:ascii="Arial" w:hAnsi="Arial" w:cs="Arial"/>
          <w:sz w:val="20"/>
          <w:szCs w:val="20"/>
          <w:shd w:val="clear" w:color="auto" w:fill="FFFFFF"/>
        </w:rPr>
      </w:pPr>
    </w:p>
    <w:p w:rsidR="00CA7D8E" w:rsidRPr="007C77ED" w:rsidRDefault="00CA7D8E" w:rsidP="00CA7D8E">
      <w:pPr>
        <w:spacing w:after="0" w:line="240" w:lineRule="auto"/>
        <w:jc w:val="both"/>
        <w:rPr>
          <w:rFonts w:ascii="Arial" w:hAnsi="Arial" w:cs="Arial"/>
          <w:color w:val="000000"/>
          <w:sz w:val="20"/>
          <w:szCs w:val="20"/>
        </w:rPr>
      </w:pPr>
      <w:r w:rsidRPr="007C77ED">
        <w:rPr>
          <w:rFonts w:ascii="Arial" w:hAnsi="Arial" w:cs="Arial"/>
          <w:b/>
          <w:color w:val="000000"/>
          <w:sz w:val="20"/>
          <w:szCs w:val="20"/>
        </w:rPr>
        <w:t>3.9.</w:t>
      </w:r>
      <w:r w:rsidRPr="007C77ED">
        <w:rPr>
          <w:rFonts w:ascii="Arial" w:hAnsi="Arial" w:cs="Arial"/>
          <w:color w:val="000000"/>
          <w:sz w:val="20"/>
          <w:szCs w:val="20"/>
        </w:rPr>
        <w:t xml:space="preserve"> A contratada obriga-se a entregar os medicamentos em conformidade com as especificações descritas na Proposta de Preços </w:t>
      </w:r>
      <w:r w:rsidRPr="007C77ED">
        <w:rPr>
          <w:rFonts w:ascii="Arial" w:hAnsi="Arial" w:cs="Arial"/>
          <w:color w:val="FF0000"/>
          <w:sz w:val="20"/>
          <w:szCs w:val="20"/>
        </w:rPr>
        <w:t>(</w:t>
      </w:r>
      <w:r w:rsidRPr="007C77ED">
        <w:rPr>
          <w:rFonts w:ascii="Arial" w:hAnsi="Arial" w:cs="Arial"/>
          <w:color w:val="FF0000"/>
          <w:sz w:val="20"/>
          <w:szCs w:val="20"/>
          <w:highlight w:val="yellow"/>
        </w:rPr>
        <w:t>Anexo X</w:t>
      </w:r>
      <w:r w:rsidRPr="007C77ED">
        <w:rPr>
          <w:rFonts w:ascii="Arial" w:hAnsi="Arial" w:cs="Arial"/>
          <w:color w:val="FF0000"/>
          <w:sz w:val="20"/>
          <w:szCs w:val="20"/>
        </w:rPr>
        <w:t xml:space="preserve"> do Edital) </w:t>
      </w:r>
      <w:r w:rsidRPr="007C77ED">
        <w:rPr>
          <w:rFonts w:ascii="Arial" w:hAnsi="Arial" w:cs="Arial"/>
          <w:color w:val="000000"/>
          <w:sz w:val="20"/>
          <w:szCs w:val="20"/>
        </w:rPr>
        <w:t>e neste termo de referência, sendo de sua inteira responsabilidade a substituição, caso não esteja em conformidade com as referidas especificações.</w:t>
      </w:r>
    </w:p>
    <w:p w:rsidR="00CA7D8E" w:rsidRPr="007C77ED" w:rsidRDefault="00CA7D8E" w:rsidP="00CA7D8E">
      <w:pPr>
        <w:spacing w:after="0" w:line="240" w:lineRule="auto"/>
        <w:jc w:val="both"/>
        <w:rPr>
          <w:rFonts w:ascii="Arial" w:hAnsi="Arial" w:cs="Arial"/>
          <w:color w:val="000000"/>
          <w:sz w:val="20"/>
          <w:szCs w:val="20"/>
        </w:rPr>
      </w:pPr>
    </w:p>
    <w:p w:rsidR="00CA7D8E" w:rsidRPr="007C77ED" w:rsidRDefault="00CA7D8E" w:rsidP="00CA7D8E">
      <w:pPr>
        <w:spacing w:after="0" w:line="240" w:lineRule="auto"/>
        <w:jc w:val="both"/>
        <w:rPr>
          <w:rFonts w:ascii="Arial" w:hAnsi="Arial" w:cs="Arial"/>
          <w:color w:val="000000"/>
          <w:sz w:val="20"/>
          <w:szCs w:val="20"/>
        </w:rPr>
      </w:pPr>
      <w:r w:rsidRPr="007C77ED">
        <w:rPr>
          <w:rFonts w:ascii="Arial" w:hAnsi="Arial" w:cs="Arial"/>
          <w:b/>
          <w:color w:val="000000"/>
          <w:sz w:val="20"/>
          <w:szCs w:val="20"/>
        </w:rPr>
        <w:t>3.10.</w:t>
      </w:r>
      <w:r w:rsidRPr="007C77ED">
        <w:rPr>
          <w:rFonts w:ascii="Arial" w:hAnsi="Arial" w:cs="Arial"/>
          <w:color w:val="000000"/>
          <w:sz w:val="20"/>
          <w:szCs w:val="20"/>
        </w:rPr>
        <w:t xml:space="preserve"> Todas as despesas relativas à entrega e transporte dos objetos licitados, bem como todos os impostos, taxas e demais despesas decorrentes do contrato correrão por conta exclusiva da contratada.</w:t>
      </w:r>
    </w:p>
    <w:p w:rsidR="00CA7D8E" w:rsidRPr="007C77ED" w:rsidRDefault="00CA7D8E" w:rsidP="00CA7D8E">
      <w:pPr>
        <w:spacing w:after="0" w:line="240" w:lineRule="auto"/>
        <w:jc w:val="both"/>
        <w:rPr>
          <w:rFonts w:ascii="Arial" w:hAnsi="Arial" w:cs="Arial"/>
          <w:color w:val="000000"/>
          <w:sz w:val="20"/>
          <w:szCs w:val="20"/>
        </w:rPr>
      </w:pPr>
    </w:p>
    <w:p w:rsidR="00CA7D8E" w:rsidRPr="007C77ED" w:rsidRDefault="00CA7D8E" w:rsidP="00CA7D8E">
      <w:pPr>
        <w:spacing w:after="0" w:line="240" w:lineRule="auto"/>
        <w:jc w:val="both"/>
        <w:rPr>
          <w:rFonts w:ascii="Arial" w:hAnsi="Arial" w:cs="Arial"/>
          <w:color w:val="C45911" w:themeColor="accent2" w:themeShade="BF"/>
          <w:sz w:val="20"/>
          <w:szCs w:val="20"/>
        </w:rPr>
      </w:pPr>
      <w:r w:rsidRPr="007C77ED">
        <w:rPr>
          <w:rFonts w:ascii="Arial" w:hAnsi="Arial" w:cs="Arial"/>
          <w:b/>
          <w:sz w:val="20"/>
          <w:szCs w:val="20"/>
        </w:rPr>
        <w:t>3.11.</w:t>
      </w:r>
      <w:r w:rsidRPr="007C77ED">
        <w:rPr>
          <w:rFonts w:ascii="Arial" w:hAnsi="Arial" w:cs="Arial"/>
          <w:sz w:val="20"/>
          <w:szCs w:val="20"/>
        </w:rPr>
        <w:t xml:space="preserve"> Os medicamentos ofertados deverão ser entregues acompanhados de notas fiscais, </w:t>
      </w:r>
      <w:r w:rsidRPr="007C77ED">
        <w:rPr>
          <w:rFonts w:ascii="Arial" w:hAnsi="Arial" w:cs="Arial"/>
          <w:color w:val="000000" w:themeColor="text1"/>
          <w:sz w:val="20"/>
          <w:szCs w:val="20"/>
          <w:highlight w:val="cyan"/>
        </w:rPr>
        <w:t>a ser emitida de acordo com a ordem de utilização</w:t>
      </w:r>
      <w:r w:rsidRPr="007C77ED">
        <w:rPr>
          <w:rFonts w:ascii="Arial" w:hAnsi="Arial" w:cs="Arial"/>
          <w:sz w:val="20"/>
          <w:szCs w:val="20"/>
          <w:highlight w:val="cyan"/>
        </w:rPr>
        <w:t>,</w:t>
      </w:r>
      <w:r w:rsidRPr="007C77ED">
        <w:rPr>
          <w:rFonts w:ascii="Arial" w:hAnsi="Arial" w:cs="Arial"/>
          <w:sz w:val="20"/>
          <w:szCs w:val="20"/>
        </w:rPr>
        <w:t xml:space="preserve"> dela devendo constar </w:t>
      </w:r>
      <w:r w:rsidRPr="007C77ED">
        <w:rPr>
          <w:rFonts w:ascii="Arial" w:hAnsi="Arial" w:cs="Arial"/>
          <w:sz w:val="20"/>
          <w:szCs w:val="20"/>
          <w:highlight w:val="cyan"/>
        </w:rPr>
        <w:t>o número da Ata de Registro de Preços</w:t>
      </w:r>
      <w:r w:rsidRPr="007C77ED">
        <w:rPr>
          <w:rFonts w:ascii="Arial" w:hAnsi="Arial" w:cs="Arial"/>
          <w:sz w:val="20"/>
          <w:szCs w:val="20"/>
        </w:rPr>
        <w:t>, o número da Nota de Empenho, o produto, o valor unitário, a quantidade, o valor total e o local da entrega, além das indicações referentes a: fabricante, marca, procedência, número do lote e prazo de validade.</w:t>
      </w:r>
    </w:p>
    <w:p w:rsidR="00CA7D8E" w:rsidRPr="007C77ED" w:rsidRDefault="00CA7D8E" w:rsidP="00CA7D8E">
      <w:pPr>
        <w:spacing w:after="0" w:line="240" w:lineRule="auto"/>
        <w:jc w:val="both"/>
        <w:rPr>
          <w:rFonts w:ascii="Arial" w:hAnsi="Arial" w:cs="Arial"/>
          <w:color w:val="000000"/>
          <w:sz w:val="20"/>
          <w:szCs w:val="20"/>
        </w:rPr>
      </w:pPr>
    </w:p>
    <w:p w:rsidR="00CA7D8E" w:rsidRPr="007C77ED" w:rsidRDefault="00CA7D8E" w:rsidP="00CA7D8E">
      <w:pPr>
        <w:spacing w:after="0" w:line="240" w:lineRule="auto"/>
        <w:jc w:val="both"/>
        <w:rPr>
          <w:rFonts w:ascii="Arial" w:hAnsi="Arial" w:cs="Arial"/>
          <w:color w:val="000000" w:themeColor="text1"/>
          <w:sz w:val="20"/>
          <w:szCs w:val="20"/>
        </w:rPr>
      </w:pPr>
      <w:r w:rsidRPr="007C77ED">
        <w:rPr>
          <w:rFonts w:ascii="Arial" w:hAnsi="Arial" w:cs="Arial"/>
          <w:b/>
          <w:color w:val="000000" w:themeColor="text1"/>
          <w:sz w:val="20"/>
          <w:szCs w:val="20"/>
        </w:rPr>
        <w:t>3.12.</w:t>
      </w:r>
      <w:r w:rsidRPr="007C77ED">
        <w:rPr>
          <w:rFonts w:ascii="Arial" w:hAnsi="Arial" w:cs="Arial"/>
          <w:color w:val="000000" w:themeColor="text1"/>
          <w:sz w:val="20"/>
          <w:szCs w:val="20"/>
        </w:rPr>
        <w:t xml:space="preserve"> O recebimento do (s) medicamento (s) se efetivará, em conformidade com os </w:t>
      </w:r>
      <w:proofErr w:type="spellStart"/>
      <w:r w:rsidRPr="007C77ED">
        <w:rPr>
          <w:rFonts w:ascii="Arial" w:hAnsi="Arial" w:cs="Arial"/>
          <w:color w:val="000000" w:themeColor="text1"/>
          <w:sz w:val="20"/>
          <w:szCs w:val="20"/>
        </w:rPr>
        <w:t>arts</w:t>
      </w:r>
      <w:proofErr w:type="spellEnd"/>
      <w:r w:rsidRPr="007C77ED">
        <w:rPr>
          <w:rFonts w:ascii="Arial" w:hAnsi="Arial" w:cs="Arial"/>
          <w:color w:val="000000" w:themeColor="text1"/>
          <w:sz w:val="20"/>
          <w:szCs w:val="20"/>
        </w:rPr>
        <w:t>. 73 a 76 da Lei 8.666/93, mediante recibo, nos seguintes termos:</w:t>
      </w:r>
    </w:p>
    <w:p w:rsidR="00CA7D8E" w:rsidRPr="007C77ED" w:rsidRDefault="00CA7D8E" w:rsidP="00CA7D8E">
      <w:pPr>
        <w:spacing w:after="0" w:line="240" w:lineRule="auto"/>
        <w:jc w:val="both"/>
        <w:rPr>
          <w:rFonts w:ascii="Arial" w:hAnsi="Arial" w:cs="Arial"/>
          <w:color w:val="000000"/>
          <w:sz w:val="20"/>
          <w:szCs w:val="20"/>
        </w:rPr>
      </w:pPr>
    </w:p>
    <w:p w:rsidR="00CA7D8E" w:rsidRPr="007C77ED" w:rsidRDefault="00CA7D8E" w:rsidP="00CA7D8E">
      <w:pPr>
        <w:numPr>
          <w:ilvl w:val="0"/>
          <w:numId w:val="19"/>
        </w:numPr>
        <w:tabs>
          <w:tab w:val="num" w:pos="0"/>
        </w:tabs>
        <w:spacing w:after="200" w:line="276" w:lineRule="auto"/>
        <w:ind w:left="851"/>
        <w:jc w:val="both"/>
        <w:rPr>
          <w:rFonts w:ascii="Arial" w:hAnsi="Arial" w:cs="Arial"/>
          <w:color w:val="000000"/>
          <w:sz w:val="20"/>
          <w:szCs w:val="20"/>
        </w:rPr>
      </w:pPr>
      <w:r w:rsidRPr="007C77ED">
        <w:rPr>
          <w:rFonts w:ascii="Arial" w:hAnsi="Arial" w:cs="Arial"/>
          <w:color w:val="000000"/>
          <w:sz w:val="20"/>
          <w:szCs w:val="20"/>
        </w:rPr>
        <w:t>Provisoriamente, para efeito de posterior verificação das especificações, mediante “Termo de Aceite Provisório”.</w:t>
      </w:r>
    </w:p>
    <w:p w:rsidR="00CA7D8E" w:rsidRPr="007C77ED" w:rsidRDefault="00CA7D8E" w:rsidP="00CA7D8E">
      <w:pPr>
        <w:numPr>
          <w:ilvl w:val="0"/>
          <w:numId w:val="19"/>
        </w:numPr>
        <w:tabs>
          <w:tab w:val="num" w:pos="0"/>
        </w:tabs>
        <w:spacing w:after="200" w:line="276" w:lineRule="auto"/>
        <w:ind w:left="851"/>
        <w:jc w:val="both"/>
        <w:rPr>
          <w:rFonts w:ascii="Arial" w:hAnsi="Arial" w:cs="Arial"/>
          <w:color w:val="000000"/>
          <w:sz w:val="20"/>
          <w:szCs w:val="20"/>
        </w:rPr>
      </w:pPr>
      <w:r w:rsidRPr="007C77ED">
        <w:rPr>
          <w:rFonts w:ascii="Arial" w:hAnsi="Arial" w:cs="Arial"/>
          <w:color w:val="000000"/>
          <w:sz w:val="20"/>
          <w:szCs w:val="20"/>
        </w:rPr>
        <w:t xml:space="preserve">Definitivamente, no prazo máximo de </w:t>
      </w:r>
      <w:r w:rsidRPr="007C77ED">
        <w:rPr>
          <w:rFonts w:ascii="Arial" w:hAnsi="Arial" w:cs="Arial"/>
          <w:color w:val="FF0000"/>
          <w:sz w:val="20"/>
          <w:highlight w:val="yellow"/>
        </w:rPr>
        <w:t>......... (.........) dias uteis</w:t>
      </w:r>
      <w:r w:rsidRPr="007C77ED">
        <w:rPr>
          <w:rFonts w:ascii="Arial" w:hAnsi="Arial" w:cs="Arial"/>
          <w:color w:val="000000"/>
          <w:sz w:val="20"/>
          <w:szCs w:val="20"/>
        </w:rPr>
        <w:t xml:space="preserve">, contados do recebimento provisório, após a verificação da qualidade, quantidade, características, especificações dos objetos, e consequente aceitação pela equipe técnica/responsável, mediante “Termo de Aceite Definitivo”. </w:t>
      </w:r>
    </w:p>
    <w:p w:rsidR="00CA7D8E" w:rsidRPr="007C77ED" w:rsidRDefault="00CA7D8E" w:rsidP="00CA7D8E">
      <w:pPr>
        <w:spacing w:after="0" w:line="240" w:lineRule="auto"/>
        <w:ind w:left="851"/>
        <w:jc w:val="both"/>
        <w:rPr>
          <w:rFonts w:ascii="Arial" w:hAnsi="Arial" w:cs="Arial"/>
          <w:color w:val="000000"/>
          <w:sz w:val="20"/>
          <w:szCs w:val="20"/>
        </w:rPr>
      </w:pPr>
      <w:r w:rsidRPr="007C77ED">
        <w:rPr>
          <w:rFonts w:ascii="Arial" w:hAnsi="Arial" w:cs="Arial"/>
          <w:b/>
          <w:color w:val="000000"/>
          <w:sz w:val="20"/>
          <w:szCs w:val="20"/>
        </w:rPr>
        <w:t xml:space="preserve">b.1) </w:t>
      </w:r>
      <w:r w:rsidRPr="007C77ED">
        <w:rPr>
          <w:rFonts w:ascii="Arial" w:hAnsi="Arial" w:cs="Arial"/>
          <w:color w:val="000000"/>
          <w:sz w:val="20"/>
          <w:szCs w:val="20"/>
        </w:rPr>
        <w:t>Na hipótese de a verificação a que se refere a alínea “b” do subitem 3.12 não ser procedida dentro do prazo fixado, reputar-se-á como realizada, consumando-se o recebimento definitivo no dia do esgotamento do prazo.</w:t>
      </w:r>
    </w:p>
    <w:p w:rsidR="00CA7D8E" w:rsidRPr="007C77ED" w:rsidRDefault="00CA7D8E" w:rsidP="00CA7D8E">
      <w:pPr>
        <w:spacing w:after="0" w:line="240" w:lineRule="auto"/>
        <w:jc w:val="both"/>
        <w:rPr>
          <w:rFonts w:ascii="Arial" w:hAnsi="Arial" w:cs="Arial"/>
          <w:color w:val="000000"/>
          <w:sz w:val="20"/>
          <w:szCs w:val="20"/>
        </w:rPr>
      </w:pPr>
    </w:p>
    <w:p w:rsidR="00CA7D8E" w:rsidRPr="007C77ED" w:rsidRDefault="00CA7D8E" w:rsidP="00CA7D8E">
      <w:pPr>
        <w:spacing w:after="0" w:line="240" w:lineRule="auto"/>
        <w:jc w:val="both"/>
        <w:rPr>
          <w:rFonts w:ascii="Arial" w:hAnsi="Arial" w:cs="Arial"/>
          <w:color w:val="000000"/>
          <w:sz w:val="20"/>
          <w:szCs w:val="20"/>
        </w:rPr>
      </w:pPr>
      <w:r w:rsidRPr="007C77ED">
        <w:rPr>
          <w:rFonts w:ascii="Arial" w:hAnsi="Arial" w:cs="Arial"/>
          <w:b/>
          <w:color w:val="000000"/>
          <w:sz w:val="20"/>
          <w:szCs w:val="20"/>
        </w:rPr>
        <w:t>3.13.</w:t>
      </w:r>
      <w:r w:rsidRPr="007C77ED">
        <w:rPr>
          <w:rFonts w:ascii="Arial" w:hAnsi="Arial" w:cs="Arial"/>
          <w:color w:val="000000"/>
          <w:sz w:val="20"/>
          <w:szCs w:val="20"/>
        </w:rPr>
        <w:t xml:space="preserve"> Serão </w:t>
      </w:r>
      <w:r w:rsidRPr="007C77ED">
        <w:rPr>
          <w:rFonts w:ascii="Arial" w:hAnsi="Arial" w:cs="Arial"/>
          <w:sz w:val="20"/>
          <w:szCs w:val="20"/>
        </w:rPr>
        <w:t>recusados os medicamentos licitados considerados imprestáveis ou defeituosos, que não atendam as especificações constantes no edital e/</w:t>
      </w:r>
      <w:r w:rsidRPr="007C77ED">
        <w:rPr>
          <w:rFonts w:ascii="Arial" w:hAnsi="Arial" w:cs="Arial"/>
          <w:color w:val="000000"/>
          <w:sz w:val="20"/>
          <w:szCs w:val="20"/>
        </w:rPr>
        <w:t xml:space="preserve">ou que não estejam adequados para o uso. </w:t>
      </w:r>
    </w:p>
    <w:p w:rsidR="00CA7D8E" w:rsidRPr="007C77ED" w:rsidRDefault="00CA7D8E" w:rsidP="00CA7D8E">
      <w:pPr>
        <w:spacing w:after="0" w:line="240" w:lineRule="auto"/>
        <w:jc w:val="both"/>
        <w:rPr>
          <w:rFonts w:ascii="Arial" w:hAnsi="Arial" w:cs="Arial"/>
          <w:color w:val="000000"/>
          <w:sz w:val="20"/>
          <w:szCs w:val="20"/>
        </w:rPr>
      </w:pPr>
    </w:p>
    <w:p w:rsidR="00CA7D8E" w:rsidRPr="007C77ED" w:rsidRDefault="00CA7D8E" w:rsidP="00CA7D8E">
      <w:pPr>
        <w:spacing w:after="0" w:line="240" w:lineRule="auto"/>
        <w:jc w:val="both"/>
        <w:rPr>
          <w:rFonts w:ascii="Arial" w:hAnsi="Arial" w:cs="Arial"/>
          <w:color w:val="000000"/>
          <w:sz w:val="20"/>
          <w:szCs w:val="20"/>
        </w:rPr>
      </w:pPr>
      <w:r w:rsidRPr="007C77ED">
        <w:rPr>
          <w:rFonts w:ascii="Arial" w:hAnsi="Arial" w:cs="Arial"/>
          <w:b/>
          <w:color w:val="212121"/>
          <w:sz w:val="20"/>
          <w:szCs w:val="20"/>
        </w:rPr>
        <w:t>3.14.</w:t>
      </w:r>
      <w:r w:rsidRPr="007C77ED">
        <w:rPr>
          <w:rFonts w:ascii="Arial" w:hAnsi="Arial" w:cs="Arial"/>
          <w:color w:val="000000"/>
          <w:sz w:val="20"/>
          <w:szCs w:val="20"/>
        </w:rPr>
        <w:t xml:space="preserve"> Não serão aceitos medicamentos suspeitos de alteração, adulteração, fraude ou falsificação, com risco comprovado à saúde, respondendo os responsáveis por infração prevista na Lei Federal </w:t>
      </w:r>
      <w:proofErr w:type="gramStart"/>
      <w:r w:rsidRPr="007C77ED">
        <w:rPr>
          <w:rFonts w:ascii="Arial" w:hAnsi="Arial" w:cs="Arial"/>
          <w:color w:val="000000"/>
          <w:sz w:val="20"/>
          <w:szCs w:val="20"/>
        </w:rPr>
        <w:t>n.º</w:t>
      </w:r>
      <w:proofErr w:type="gramEnd"/>
      <w:r w:rsidRPr="007C77ED">
        <w:rPr>
          <w:rFonts w:ascii="Arial" w:hAnsi="Arial" w:cs="Arial"/>
          <w:color w:val="000000"/>
          <w:sz w:val="20"/>
          <w:szCs w:val="20"/>
        </w:rPr>
        <w:t xml:space="preserve"> 6.437/77 e crime previsto no Código Penal, a ser apurado na forma da Lei.</w:t>
      </w:r>
    </w:p>
    <w:p w:rsidR="00CA7D8E" w:rsidRPr="007C77ED" w:rsidRDefault="00CA7D8E" w:rsidP="00CA7D8E">
      <w:pPr>
        <w:spacing w:after="0" w:line="240" w:lineRule="auto"/>
        <w:jc w:val="both"/>
        <w:rPr>
          <w:rFonts w:ascii="Arial" w:hAnsi="Arial" w:cs="Arial"/>
          <w:color w:val="000000"/>
          <w:sz w:val="20"/>
          <w:szCs w:val="20"/>
        </w:rPr>
      </w:pPr>
    </w:p>
    <w:p w:rsidR="00CA7D8E" w:rsidRPr="007C77ED" w:rsidRDefault="00CA7D8E" w:rsidP="00CA7D8E">
      <w:pPr>
        <w:spacing w:after="0" w:line="240" w:lineRule="auto"/>
        <w:jc w:val="both"/>
        <w:rPr>
          <w:rFonts w:ascii="Arial" w:hAnsi="Arial" w:cs="Arial"/>
          <w:color w:val="000000"/>
          <w:sz w:val="20"/>
          <w:szCs w:val="20"/>
        </w:rPr>
      </w:pPr>
      <w:r w:rsidRPr="007C77ED">
        <w:rPr>
          <w:rFonts w:ascii="Arial" w:hAnsi="Arial" w:cs="Arial"/>
          <w:b/>
          <w:color w:val="000000"/>
          <w:sz w:val="20"/>
          <w:szCs w:val="20"/>
          <w:highlight w:val="cyan"/>
        </w:rPr>
        <w:t>3.15.</w:t>
      </w:r>
      <w:r w:rsidRPr="007C77ED">
        <w:rPr>
          <w:rFonts w:ascii="Arial" w:hAnsi="Arial" w:cs="Arial"/>
          <w:color w:val="000000"/>
          <w:sz w:val="20"/>
          <w:szCs w:val="20"/>
          <w:highlight w:val="cyan"/>
        </w:rPr>
        <w:t xml:space="preserve"> Caso a fornecedora classificada não puder entregar </w:t>
      </w:r>
      <w:proofErr w:type="gramStart"/>
      <w:r w:rsidRPr="007C77ED">
        <w:rPr>
          <w:rFonts w:ascii="Arial" w:hAnsi="Arial" w:cs="Arial"/>
          <w:color w:val="000000"/>
          <w:sz w:val="20"/>
          <w:szCs w:val="20"/>
          <w:highlight w:val="cyan"/>
        </w:rPr>
        <w:t>o(</w:t>
      </w:r>
      <w:proofErr w:type="gramEnd"/>
      <w:r w:rsidRPr="007C77ED">
        <w:rPr>
          <w:rFonts w:ascii="Arial" w:hAnsi="Arial" w:cs="Arial"/>
          <w:color w:val="000000"/>
          <w:sz w:val="20"/>
          <w:szCs w:val="20"/>
          <w:highlight w:val="cyan"/>
        </w:rPr>
        <w:t xml:space="preserve">s) objeto(s) solicitado(s), ou o quantitativo total requisitado ou parte dele, deverá comunicar o fato </w:t>
      </w:r>
      <w:r w:rsidRPr="007C77ED">
        <w:rPr>
          <w:rFonts w:ascii="Arial" w:hAnsi="Arial" w:cs="Arial"/>
          <w:color w:val="000000" w:themeColor="text1"/>
          <w:sz w:val="20"/>
          <w:szCs w:val="20"/>
          <w:highlight w:val="cyan"/>
        </w:rPr>
        <w:t xml:space="preserve">ao órgão gerenciador da ata de registro de preço, </w:t>
      </w:r>
      <w:r w:rsidRPr="007C77ED">
        <w:rPr>
          <w:rFonts w:ascii="Arial" w:hAnsi="Arial" w:cs="Arial"/>
          <w:color w:val="000000"/>
          <w:sz w:val="20"/>
          <w:szCs w:val="20"/>
          <w:highlight w:val="cyan"/>
        </w:rPr>
        <w:t xml:space="preserve">por escrito, no prazo máximo de </w:t>
      </w:r>
      <w:r w:rsidRPr="007C77ED">
        <w:rPr>
          <w:rFonts w:ascii="Arial" w:hAnsi="Arial" w:cs="Arial"/>
          <w:b/>
          <w:color w:val="000000"/>
          <w:sz w:val="20"/>
          <w:szCs w:val="20"/>
          <w:highlight w:val="cyan"/>
        </w:rPr>
        <w:t>24 (vinte e quatro) horas</w:t>
      </w:r>
      <w:r w:rsidRPr="007C77ED">
        <w:rPr>
          <w:rFonts w:ascii="Arial" w:hAnsi="Arial" w:cs="Arial"/>
          <w:color w:val="000000"/>
          <w:sz w:val="20"/>
          <w:szCs w:val="20"/>
          <w:highlight w:val="cyan"/>
        </w:rPr>
        <w:t>, a contar do recebimento da ordem de fornecimento.</w:t>
      </w:r>
    </w:p>
    <w:p w:rsidR="00CA7D8E" w:rsidRPr="007C77ED" w:rsidRDefault="00CA7D8E" w:rsidP="00CA7D8E">
      <w:pPr>
        <w:spacing w:after="0" w:line="240" w:lineRule="auto"/>
        <w:jc w:val="both"/>
        <w:rPr>
          <w:rFonts w:ascii="Arial" w:hAnsi="Arial" w:cs="Arial"/>
          <w:color w:val="000000"/>
          <w:sz w:val="20"/>
          <w:szCs w:val="20"/>
        </w:rPr>
      </w:pPr>
    </w:p>
    <w:p w:rsidR="00CA7D8E" w:rsidRPr="007C77ED" w:rsidRDefault="00CA7D8E" w:rsidP="00CA7D8E">
      <w:pPr>
        <w:spacing w:after="0" w:line="240" w:lineRule="auto"/>
        <w:jc w:val="both"/>
        <w:rPr>
          <w:rFonts w:ascii="Arial" w:hAnsi="Arial" w:cs="Arial"/>
          <w:color w:val="000000"/>
          <w:sz w:val="20"/>
          <w:szCs w:val="20"/>
          <w:highlight w:val="cyan"/>
        </w:rPr>
      </w:pPr>
      <w:r w:rsidRPr="007C77ED">
        <w:rPr>
          <w:rFonts w:ascii="Arial" w:hAnsi="Arial" w:cs="Arial"/>
          <w:b/>
          <w:color w:val="000000"/>
          <w:sz w:val="20"/>
          <w:szCs w:val="20"/>
          <w:highlight w:val="cyan"/>
        </w:rPr>
        <w:lastRenderedPageBreak/>
        <w:t>3.16.</w:t>
      </w:r>
      <w:r w:rsidRPr="007C77ED">
        <w:rPr>
          <w:rFonts w:ascii="Arial" w:hAnsi="Arial" w:cs="Arial"/>
          <w:color w:val="000000"/>
          <w:sz w:val="20"/>
          <w:szCs w:val="20"/>
          <w:highlight w:val="cyan"/>
        </w:rPr>
        <w:t xml:space="preserve"> Caso a fornecedora detentora da Ata se recusar ao recebimento da nota de empenho ou instrumento equivalente, no prazo de </w:t>
      </w:r>
      <w:r w:rsidRPr="007C77ED">
        <w:rPr>
          <w:rFonts w:ascii="Arial" w:hAnsi="Arial" w:cs="Arial"/>
          <w:color w:val="FF0000"/>
          <w:sz w:val="20"/>
          <w:szCs w:val="20"/>
          <w:highlight w:val="cyan"/>
        </w:rPr>
        <w:t xml:space="preserve">...... (.......) </w:t>
      </w:r>
      <w:proofErr w:type="gramStart"/>
      <w:r w:rsidRPr="007C77ED">
        <w:rPr>
          <w:rFonts w:ascii="Arial" w:hAnsi="Arial" w:cs="Arial"/>
          <w:color w:val="FF0000"/>
          <w:sz w:val="20"/>
          <w:szCs w:val="20"/>
          <w:highlight w:val="cyan"/>
        </w:rPr>
        <w:t>dias</w:t>
      </w:r>
      <w:proofErr w:type="gramEnd"/>
      <w:r w:rsidRPr="007C77ED">
        <w:rPr>
          <w:rFonts w:ascii="Arial" w:hAnsi="Arial" w:cs="Arial"/>
          <w:color w:val="FF0000"/>
          <w:sz w:val="20"/>
          <w:szCs w:val="20"/>
          <w:highlight w:val="cyan"/>
        </w:rPr>
        <w:t xml:space="preserve"> úteis</w:t>
      </w:r>
      <w:r w:rsidRPr="007C77ED">
        <w:rPr>
          <w:rFonts w:ascii="Arial" w:hAnsi="Arial" w:cs="Arial"/>
          <w:color w:val="000000"/>
          <w:sz w:val="20"/>
          <w:szCs w:val="20"/>
          <w:highlight w:val="cyan"/>
        </w:rPr>
        <w:t>, a contar da notificação por meio hábil (fax ou e-mail), a Administração convocará a segunda melhor classificada para efetuar a entrega, e assim sucessivamente quanto às demais classificadas, aplicando aos faltosos as penalidades cabíveis.</w:t>
      </w:r>
    </w:p>
    <w:p w:rsidR="00CA7D8E" w:rsidRPr="007C77ED" w:rsidRDefault="00CA7D8E" w:rsidP="00CA7D8E">
      <w:pPr>
        <w:widowControl w:val="0"/>
        <w:spacing w:after="0" w:line="240" w:lineRule="auto"/>
        <w:ind w:left="1843" w:right="51" w:hanging="1134"/>
        <w:jc w:val="both"/>
        <w:rPr>
          <w:rFonts w:ascii="Arial" w:eastAsia="Times New Roman" w:hAnsi="Arial" w:cs="Arial"/>
          <w:sz w:val="20"/>
          <w:szCs w:val="20"/>
          <w:highlight w:val="cyan"/>
          <w:lang w:eastAsia="pt-BR"/>
        </w:rPr>
      </w:pPr>
    </w:p>
    <w:p w:rsidR="00CA7D8E" w:rsidRPr="007C77ED" w:rsidRDefault="00CA7D8E" w:rsidP="00CA7D8E">
      <w:pPr>
        <w:spacing w:after="0" w:line="240" w:lineRule="auto"/>
        <w:jc w:val="both"/>
        <w:rPr>
          <w:rFonts w:ascii="Arial" w:hAnsi="Arial" w:cs="Arial"/>
          <w:sz w:val="20"/>
          <w:szCs w:val="20"/>
        </w:rPr>
      </w:pPr>
      <w:r w:rsidRPr="007C77ED">
        <w:rPr>
          <w:rFonts w:ascii="Arial" w:hAnsi="Arial" w:cs="Arial"/>
          <w:b/>
          <w:color w:val="000000"/>
          <w:sz w:val="20"/>
          <w:szCs w:val="20"/>
          <w:highlight w:val="cyan"/>
        </w:rPr>
        <w:t>3.16.1.</w:t>
      </w:r>
      <w:r w:rsidRPr="007C77ED">
        <w:rPr>
          <w:rFonts w:ascii="Arial" w:hAnsi="Arial" w:cs="Arial"/>
          <w:color w:val="000000"/>
          <w:sz w:val="20"/>
          <w:szCs w:val="20"/>
          <w:highlight w:val="cyan"/>
        </w:rPr>
        <w:t xml:space="preserve"> A segunda fornecedora classificada só poderá fornecer à Administração quando estiver esgotada a capacidade de </w:t>
      </w:r>
      <w:r w:rsidRPr="007C77ED">
        <w:rPr>
          <w:rFonts w:ascii="Arial" w:hAnsi="Arial" w:cs="Arial"/>
          <w:sz w:val="20"/>
          <w:szCs w:val="20"/>
          <w:highlight w:val="cyan"/>
        </w:rPr>
        <w:t xml:space="preserve">fornecimento da primeira, e assim sucessivamente, de acordo com o consumo anual previsto para cada item do </w:t>
      </w:r>
      <w:r w:rsidRPr="007C77ED">
        <w:rPr>
          <w:rFonts w:ascii="Arial" w:eastAsia="Times New Roman" w:hAnsi="Arial" w:cs="Arial"/>
          <w:color w:val="FF0000"/>
          <w:sz w:val="20"/>
          <w:szCs w:val="20"/>
          <w:highlight w:val="cyan"/>
          <w:lang w:eastAsia="pt-BR"/>
        </w:rPr>
        <w:t>Anexo 1 do Mapa Estimativo</w:t>
      </w:r>
      <w:r w:rsidRPr="007C77ED">
        <w:rPr>
          <w:rFonts w:ascii="Arial" w:hAnsi="Arial" w:cs="Arial"/>
          <w:sz w:val="20"/>
          <w:szCs w:val="20"/>
          <w:highlight w:val="cyan"/>
        </w:rPr>
        <w:t>, ou quando a primeira classificada tiver seu registro junto a Ata cancelado.</w:t>
      </w:r>
    </w:p>
    <w:p w:rsidR="00CA7D8E" w:rsidRPr="007C77ED" w:rsidRDefault="00CA7D8E" w:rsidP="00CA7D8E">
      <w:pPr>
        <w:spacing w:after="0" w:line="240" w:lineRule="auto"/>
        <w:jc w:val="both"/>
        <w:rPr>
          <w:rFonts w:ascii="Arial" w:hAnsi="Arial" w:cs="Arial"/>
          <w:sz w:val="20"/>
          <w:szCs w:val="20"/>
        </w:rPr>
      </w:pPr>
    </w:p>
    <w:p w:rsidR="00CA7D8E" w:rsidRPr="007C77ED" w:rsidRDefault="00CA7D8E" w:rsidP="00CA7D8E">
      <w:pPr>
        <w:spacing w:after="0" w:line="240" w:lineRule="auto"/>
        <w:jc w:val="both"/>
        <w:rPr>
          <w:rFonts w:ascii="Arial" w:eastAsia="Times New Roman" w:hAnsi="Arial" w:cs="Arial"/>
          <w:b/>
          <w:sz w:val="20"/>
          <w:szCs w:val="20"/>
          <w:lang w:eastAsia="pt-BR"/>
        </w:rPr>
      </w:pPr>
      <w:r w:rsidRPr="007C77ED">
        <w:rPr>
          <w:rFonts w:ascii="Arial" w:eastAsia="Times New Roman" w:hAnsi="Arial" w:cs="Arial"/>
          <w:b/>
          <w:sz w:val="20"/>
          <w:szCs w:val="20"/>
          <w:lang w:eastAsia="pt-BR"/>
        </w:rPr>
        <w:t xml:space="preserve">4. ESTIMATIVA DE PREÇO E PREÇOS REFERENCIAIS </w:t>
      </w:r>
    </w:p>
    <w:p w:rsidR="00CA7D8E" w:rsidRPr="007C77ED" w:rsidRDefault="00CA7D8E" w:rsidP="00CA7D8E">
      <w:pPr>
        <w:spacing w:before="100" w:beforeAutospacing="1" w:after="100" w:afterAutospacing="1" w:line="240" w:lineRule="auto"/>
        <w:jc w:val="both"/>
        <w:rPr>
          <w:rFonts w:ascii="Arial" w:eastAsia="Times New Roman" w:hAnsi="Arial" w:cs="Arial"/>
          <w:b/>
          <w:bCs/>
          <w:color w:val="000000" w:themeColor="text1"/>
          <w:sz w:val="20"/>
          <w:szCs w:val="20"/>
          <w:lang w:eastAsia="pt-BR"/>
        </w:rPr>
      </w:pPr>
      <w:r w:rsidRPr="007C77ED">
        <w:rPr>
          <w:rFonts w:ascii="Arial" w:eastAsia="Times New Roman" w:hAnsi="Arial" w:cs="Arial"/>
          <w:b/>
          <w:bCs/>
          <w:color w:val="000000" w:themeColor="text1"/>
          <w:sz w:val="20"/>
          <w:szCs w:val="20"/>
          <w:lang w:eastAsia="pt-BR"/>
        </w:rPr>
        <w:t xml:space="preserve">4.1. </w:t>
      </w:r>
      <w:r w:rsidRPr="007C77ED">
        <w:rPr>
          <w:rFonts w:ascii="Arial" w:eastAsia="Times New Roman" w:hAnsi="Arial" w:cs="Arial"/>
          <w:bCs/>
          <w:color w:val="000000" w:themeColor="text1"/>
          <w:sz w:val="20"/>
          <w:szCs w:val="20"/>
          <w:lang w:eastAsia="pt-BR"/>
        </w:rPr>
        <w:t>Considerando que a pesquisa de preço dar-se-á em momento posterior pela unidade administrativa responsável pela identificação do preço de referência, e considerando as peculiaridades que as aquisições de medicamento exigem para essa fase procedimental, passa-se as orientações que os elaboradores da pesquisa deverão observar.</w:t>
      </w:r>
    </w:p>
    <w:p w:rsidR="00CA7D8E" w:rsidRPr="007C77ED" w:rsidRDefault="00CA7D8E" w:rsidP="00CA7D8E">
      <w:pPr>
        <w:spacing w:before="100" w:beforeAutospacing="1" w:after="100" w:afterAutospacing="1" w:line="240" w:lineRule="auto"/>
        <w:jc w:val="both"/>
        <w:rPr>
          <w:rFonts w:ascii="Arial" w:eastAsia="Times New Roman" w:hAnsi="Arial" w:cs="Arial"/>
          <w:bCs/>
          <w:color w:val="000000" w:themeColor="text1"/>
          <w:sz w:val="20"/>
          <w:szCs w:val="20"/>
          <w:lang w:eastAsia="pt-BR"/>
        </w:rPr>
      </w:pPr>
      <w:r w:rsidRPr="007C77ED">
        <w:rPr>
          <w:rFonts w:ascii="Arial" w:eastAsia="Times New Roman" w:hAnsi="Arial" w:cs="Arial"/>
          <w:b/>
          <w:bCs/>
          <w:color w:val="000000" w:themeColor="text1"/>
          <w:sz w:val="20"/>
          <w:szCs w:val="20"/>
          <w:lang w:eastAsia="pt-BR"/>
        </w:rPr>
        <w:t xml:space="preserve">4.2. </w:t>
      </w:r>
      <w:r w:rsidRPr="007C77ED">
        <w:rPr>
          <w:rFonts w:ascii="Arial" w:eastAsia="Times New Roman" w:hAnsi="Arial" w:cs="Arial"/>
          <w:bCs/>
          <w:color w:val="000000" w:themeColor="text1"/>
          <w:sz w:val="20"/>
          <w:szCs w:val="20"/>
          <w:lang w:eastAsia="pt-BR"/>
        </w:rPr>
        <w:t xml:space="preserve">Em atenção ao disposto no art. 6º, inciso V, da Lei n. 10.742/2003, o qual informa que compete à CMED, dentre outros atos necessários à consecução dos objetivos a que se destina a referida legislação, </w:t>
      </w:r>
      <w:r w:rsidRPr="007C77ED">
        <w:rPr>
          <w:rFonts w:ascii="Arial" w:eastAsia="Times New Roman" w:hAnsi="Arial" w:cs="Arial"/>
          <w:bCs/>
          <w:i/>
          <w:color w:val="000000" w:themeColor="text1"/>
          <w:sz w:val="20"/>
          <w:szCs w:val="20"/>
          <w:lang w:eastAsia="pt-BR"/>
        </w:rPr>
        <w:t xml:space="preserve">“estabelecer critérios para fixação de margens de comercialização de medicamentos a serem observados pelos representantes, distribuidores, farmácias e drogarias, inclusive das margens de farmácias voltadas especificamente ao atendimento privativo de unidade hospitalar ou de qualquer outra equivalente de assistência médica”, </w:t>
      </w:r>
      <w:r w:rsidRPr="007C77ED">
        <w:rPr>
          <w:rFonts w:ascii="Arial" w:eastAsia="Times New Roman" w:hAnsi="Arial" w:cs="Arial"/>
          <w:bCs/>
          <w:color w:val="000000" w:themeColor="text1"/>
          <w:sz w:val="20"/>
          <w:szCs w:val="20"/>
          <w:lang w:eastAsia="pt-BR"/>
        </w:rPr>
        <w:t>tem-se que o preço máximo não poderá ultrapassar o valor referenciado na tabela CMED.</w:t>
      </w:r>
    </w:p>
    <w:p w:rsidR="00CA7D8E" w:rsidRPr="007C77ED" w:rsidRDefault="00CA7D8E" w:rsidP="00CA7D8E">
      <w:pPr>
        <w:spacing w:before="100" w:beforeAutospacing="1" w:after="100" w:afterAutospacing="1" w:line="240" w:lineRule="auto"/>
        <w:jc w:val="both"/>
        <w:rPr>
          <w:rFonts w:ascii="Arial" w:eastAsia="Times New Roman" w:hAnsi="Arial" w:cs="Arial"/>
          <w:bCs/>
          <w:color w:val="000000" w:themeColor="text1"/>
          <w:sz w:val="20"/>
          <w:szCs w:val="20"/>
          <w:lang w:eastAsia="pt-BR"/>
        </w:rPr>
      </w:pPr>
      <w:r w:rsidRPr="007C77ED">
        <w:rPr>
          <w:rFonts w:ascii="Arial" w:eastAsia="Times New Roman" w:hAnsi="Arial" w:cs="Arial"/>
          <w:b/>
          <w:bCs/>
          <w:color w:val="000000" w:themeColor="text1"/>
          <w:sz w:val="20"/>
          <w:szCs w:val="20"/>
          <w:lang w:eastAsia="pt-BR"/>
        </w:rPr>
        <w:t xml:space="preserve">4.3. </w:t>
      </w:r>
      <w:r w:rsidRPr="007C77ED">
        <w:rPr>
          <w:rFonts w:ascii="Arial" w:eastAsia="Times New Roman" w:hAnsi="Arial" w:cs="Arial"/>
          <w:bCs/>
          <w:color w:val="000000" w:themeColor="text1"/>
          <w:sz w:val="20"/>
          <w:szCs w:val="20"/>
          <w:lang w:eastAsia="pt-BR"/>
        </w:rPr>
        <w:t>Os preços referendados na CMED cuidam-se de referenciais máximos que a lei permite a um fabricante de medicamento vender seu produto, o que deverá ser observado pela unidade responsável pela pesquisa de preço.</w:t>
      </w:r>
    </w:p>
    <w:p w:rsidR="00CA7D8E" w:rsidRPr="007C77ED" w:rsidRDefault="00CA7D8E" w:rsidP="00CA7D8E">
      <w:pPr>
        <w:spacing w:after="120" w:line="240" w:lineRule="auto"/>
        <w:jc w:val="both"/>
        <w:rPr>
          <w:rFonts w:ascii="Arial" w:eastAsia="Times New Roman" w:hAnsi="Arial" w:cs="Arial"/>
          <w:color w:val="FF0000"/>
          <w:sz w:val="20"/>
          <w:szCs w:val="20"/>
          <w:lang w:eastAsia="pt-BR"/>
        </w:rPr>
      </w:pPr>
      <w:r w:rsidRPr="007C77ED">
        <w:rPr>
          <w:rFonts w:ascii="Arial" w:eastAsia="Times New Roman" w:hAnsi="Arial" w:cs="Arial"/>
          <w:b/>
          <w:color w:val="FF0000"/>
          <w:sz w:val="20"/>
          <w:szCs w:val="20"/>
          <w:lang w:eastAsia="pt-BR"/>
        </w:rPr>
        <w:t>4.4.</w:t>
      </w:r>
      <w:r w:rsidRPr="007C77ED">
        <w:rPr>
          <w:rFonts w:ascii="Arial" w:eastAsia="Times New Roman" w:hAnsi="Arial" w:cs="Arial"/>
          <w:color w:val="FF0000"/>
          <w:sz w:val="20"/>
          <w:szCs w:val="20"/>
          <w:lang w:eastAsia="pt-BR"/>
        </w:rPr>
        <w:t xml:space="preserve"> Por se estar diante de recursos cujo controle externo compete ao Tribunal de Contas do Estado de Mato Grosso do Sul, em atenção ao pronunciamento firmado pelo E. TCE/MS, em sede de TC/5562/2019 (PARECER-C – PAC00 – 6/2020 – TCE/MS), é permitida a adoção como parâmetro de pesquisa:</w:t>
      </w:r>
    </w:p>
    <w:p w:rsidR="00CA7D8E" w:rsidRPr="007C77ED" w:rsidRDefault="00CA7D8E" w:rsidP="00CA7D8E">
      <w:pPr>
        <w:spacing w:after="120" w:line="240" w:lineRule="auto"/>
        <w:jc w:val="both"/>
        <w:rPr>
          <w:rFonts w:ascii="Arial" w:eastAsia="Times New Roman" w:hAnsi="Arial" w:cs="Arial"/>
          <w:color w:val="FF0000"/>
          <w:sz w:val="20"/>
          <w:szCs w:val="20"/>
          <w:lang w:eastAsia="pt-BR"/>
        </w:rPr>
      </w:pPr>
      <w:r w:rsidRPr="007C77ED">
        <w:rPr>
          <w:rFonts w:ascii="Arial" w:eastAsia="Times New Roman" w:hAnsi="Arial" w:cs="Arial"/>
          <w:b/>
          <w:color w:val="FF0000"/>
          <w:sz w:val="20"/>
          <w:szCs w:val="20"/>
          <w:lang w:eastAsia="pt-BR"/>
        </w:rPr>
        <w:t>4.4.1.</w:t>
      </w:r>
      <w:r w:rsidRPr="007C77ED">
        <w:rPr>
          <w:rFonts w:ascii="Arial" w:eastAsia="Times New Roman" w:hAnsi="Arial" w:cs="Arial"/>
          <w:color w:val="FF0000"/>
          <w:sz w:val="20"/>
          <w:szCs w:val="20"/>
          <w:lang w:eastAsia="pt-BR"/>
        </w:rPr>
        <w:t xml:space="preserve"> </w:t>
      </w:r>
      <w:proofErr w:type="gramStart"/>
      <w:r w:rsidRPr="007C77ED">
        <w:rPr>
          <w:rFonts w:ascii="Arial" w:eastAsia="Times New Roman" w:hAnsi="Arial" w:cs="Arial"/>
          <w:color w:val="FF0000"/>
          <w:sz w:val="20"/>
          <w:szCs w:val="20"/>
          <w:lang w:eastAsia="pt-BR"/>
        </w:rPr>
        <w:t>os</w:t>
      </w:r>
      <w:proofErr w:type="gramEnd"/>
      <w:r w:rsidRPr="007C77ED">
        <w:rPr>
          <w:rFonts w:ascii="Arial" w:eastAsia="Times New Roman" w:hAnsi="Arial" w:cs="Arial"/>
          <w:color w:val="FF0000"/>
          <w:sz w:val="20"/>
          <w:szCs w:val="20"/>
          <w:lang w:eastAsia="pt-BR"/>
        </w:rPr>
        <w:t xml:space="preserve"> valores lançados no denominado Banco de Preços em Saúde (BPS), criado pelo Ministério da Saúde e disponibilizado no endereço eletrônico http://bps.saude.gov. </w:t>
      </w:r>
      <w:proofErr w:type="spellStart"/>
      <w:r w:rsidRPr="007C77ED">
        <w:rPr>
          <w:rFonts w:ascii="Arial" w:eastAsia="Times New Roman" w:hAnsi="Arial" w:cs="Arial"/>
          <w:color w:val="FF0000"/>
          <w:sz w:val="20"/>
          <w:szCs w:val="20"/>
          <w:lang w:eastAsia="pt-BR"/>
        </w:rPr>
        <w:t>br</w:t>
      </w:r>
      <w:proofErr w:type="spellEnd"/>
      <w:r w:rsidRPr="007C77ED">
        <w:rPr>
          <w:rFonts w:ascii="Arial" w:eastAsia="Times New Roman" w:hAnsi="Arial" w:cs="Arial"/>
          <w:color w:val="FF0000"/>
          <w:sz w:val="20"/>
          <w:szCs w:val="20"/>
          <w:lang w:eastAsia="pt-BR"/>
        </w:rPr>
        <w:t>/</w:t>
      </w:r>
      <w:proofErr w:type="spellStart"/>
      <w:r w:rsidRPr="007C77ED">
        <w:rPr>
          <w:rFonts w:ascii="Arial" w:eastAsia="Times New Roman" w:hAnsi="Arial" w:cs="Arial"/>
          <w:color w:val="FF0000"/>
          <w:sz w:val="20"/>
          <w:szCs w:val="20"/>
          <w:lang w:eastAsia="pt-BR"/>
        </w:rPr>
        <w:t>login.jsf</w:t>
      </w:r>
      <w:proofErr w:type="spellEnd"/>
      <w:r w:rsidRPr="007C77ED">
        <w:rPr>
          <w:rFonts w:ascii="Arial" w:eastAsia="Times New Roman" w:hAnsi="Arial" w:cs="Arial"/>
          <w:color w:val="FF0000"/>
          <w:sz w:val="20"/>
          <w:szCs w:val="20"/>
          <w:lang w:eastAsia="pt-BR"/>
        </w:rPr>
        <w:t>;</w:t>
      </w:r>
    </w:p>
    <w:p w:rsidR="00CA7D8E" w:rsidRPr="007C77ED" w:rsidRDefault="00CA7D8E" w:rsidP="00CA7D8E">
      <w:pPr>
        <w:spacing w:after="120" w:line="240" w:lineRule="auto"/>
        <w:jc w:val="both"/>
        <w:rPr>
          <w:rFonts w:ascii="Arial" w:eastAsia="Times New Roman" w:hAnsi="Arial" w:cs="Arial"/>
          <w:color w:val="FF0000"/>
          <w:sz w:val="20"/>
          <w:szCs w:val="20"/>
          <w:lang w:eastAsia="pt-BR"/>
        </w:rPr>
      </w:pPr>
      <w:r w:rsidRPr="007C77ED">
        <w:rPr>
          <w:rFonts w:ascii="Arial" w:eastAsia="Times New Roman" w:hAnsi="Arial" w:cs="Arial"/>
          <w:b/>
          <w:color w:val="FF0000"/>
          <w:sz w:val="20"/>
          <w:szCs w:val="20"/>
          <w:lang w:eastAsia="pt-BR"/>
        </w:rPr>
        <w:t>4.4.2.</w:t>
      </w:r>
      <w:r w:rsidRPr="007C77ED">
        <w:rPr>
          <w:rFonts w:ascii="Arial" w:eastAsia="Times New Roman" w:hAnsi="Arial" w:cs="Arial"/>
          <w:color w:val="FF0000"/>
          <w:sz w:val="20"/>
          <w:szCs w:val="20"/>
          <w:lang w:eastAsia="pt-BR"/>
        </w:rPr>
        <w:t xml:space="preserve"> </w:t>
      </w:r>
      <w:proofErr w:type="gramStart"/>
      <w:r w:rsidRPr="007C77ED">
        <w:rPr>
          <w:rFonts w:ascii="Arial" w:eastAsia="Times New Roman" w:hAnsi="Arial" w:cs="Arial"/>
          <w:color w:val="FF0000"/>
          <w:sz w:val="20"/>
          <w:szCs w:val="20"/>
          <w:lang w:eastAsia="pt-BR"/>
        </w:rPr>
        <w:t>outras</w:t>
      </w:r>
      <w:proofErr w:type="gramEnd"/>
      <w:r w:rsidRPr="007C77ED">
        <w:rPr>
          <w:rFonts w:ascii="Arial" w:eastAsia="Times New Roman" w:hAnsi="Arial" w:cs="Arial"/>
          <w:color w:val="FF0000"/>
          <w:sz w:val="20"/>
          <w:szCs w:val="20"/>
          <w:lang w:eastAsia="pt-BR"/>
        </w:rPr>
        <w:t xml:space="preserve"> fontes de pesquisas que espelham as contratações firmadas pela Administração Pública com o fim de aquisição de medicamentos; </w:t>
      </w:r>
    </w:p>
    <w:p w:rsidR="00CA7D8E" w:rsidRPr="007C77ED" w:rsidRDefault="00CA7D8E" w:rsidP="00CA7D8E">
      <w:pPr>
        <w:spacing w:after="120" w:line="240" w:lineRule="auto"/>
        <w:jc w:val="both"/>
        <w:rPr>
          <w:rFonts w:ascii="Arial" w:eastAsia="Times New Roman" w:hAnsi="Arial" w:cs="Arial"/>
          <w:color w:val="FF0000"/>
          <w:sz w:val="20"/>
          <w:szCs w:val="20"/>
          <w:lang w:eastAsia="pt-BR"/>
        </w:rPr>
      </w:pPr>
      <w:r w:rsidRPr="007C77ED">
        <w:rPr>
          <w:rFonts w:ascii="Arial" w:eastAsia="Times New Roman" w:hAnsi="Arial" w:cs="Arial"/>
          <w:b/>
          <w:color w:val="FF0000"/>
          <w:sz w:val="20"/>
          <w:szCs w:val="20"/>
          <w:lang w:eastAsia="pt-BR"/>
        </w:rPr>
        <w:t>4.4.3.</w:t>
      </w:r>
      <w:r w:rsidRPr="007C77ED">
        <w:rPr>
          <w:rFonts w:ascii="Arial" w:eastAsia="Times New Roman" w:hAnsi="Arial" w:cs="Arial"/>
          <w:color w:val="FF0000"/>
          <w:sz w:val="20"/>
          <w:szCs w:val="20"/>
          <w:lang w:eastAsia="pt-BR"/>
        </w:rPr>
        <w:t xml:space="preserve"> </w:t>
      </w:r>
      <w:proofErr w:type="gramStart"/>
      <w:r w:rsidRPr="007C77ED">
        <w:rPr>
          <w:rFonts w:ascii="Arial" w:eastAsia="Times New Roman" w:hAnsi="Arial" w:cs="Arial"/>
          <w:color w:val="FF0000"/>
          <w:sz w:val="20"/>
          <w:szCs w:val="20"/>
          <w:lang w:eastAsia="pt-BR"/>
        </w:rPr>
        <w:t>a</w:t>
      </w:r>
      <w:proofErr w:type="gramEnd"/>
      <w:r w:rsidRPr="007C77ED">
        <w:rPr>
          <w:rFonts w:ascii="Arial" w:eastAsia="Times New Roman" w:hAnsi="Arial" w:cs="Arial"/>
          <w:color w:val="FF0000"/>
          <w:sz w:val="20"/>
          <w:szCs w:val="20"/>
          <w:lang w:eastAsia="pt-BR"/>
        </w:rPr>
        <w:t xml:space="preserve"> utilização da Tabela CMED, desde que: </w:t>
      </w:r>
    </w:p>
    <w:p w:rsidR="00CA7D8E" w:rsidRPr="007C77ED" w:rsidRDefault="00CA7D8E" w:rsidP="00CA7D8E">
      <w:pPr>
        <w:spacing w:after="120" w:line="240" w:lineRule="auto"/>
        <w:jc w:val="both"/>
        <w:rPr>
          <w:rFonts w:ascii="Arial" w:eastAsia="Times New Roman" w:hAnsi="Arial" w:cs="Arial"/>
          <w:color w:val="FF0000"/>
          <w:sz w:val="20"/>
          <w:szCs w:val="20"/>
          <w:lang w:eastAsia="pt-BR"/>
        </w:rPr>
      </w:pPr>
      <w:r w:rsidRPr="007C77ED">
        <w:rPr>
          <w:rFonts w:ascii="Arial" w:eastAsia="Times New Roman" w:hAnsi="Arial" w:cs="Arial"/>
          <w:b/>
          <w:color w:val="FF0000"/>
          <w:sz w:val="20"/>
          <w:szCs w:val="20"/>
          <w:lang w:eastAsia="pt-BR"/>
        </w:rPr>
        <w:t>4.4.3.1</w:t>
      </w:r>
      <w:r w:rsidRPr="007C77ED">
        <w:rPr>
          <w:rFonts w:ascii="Arial" w:eastAsia="Times New Roman" w:hAnsi="Arial" w:cs="Arial"/>
          <w:color w:val="FF0000"/>
          <w:sz w:val="20"/>
          <w:szCs w:val="20"/>
          <w:lang w:eastAsia="pt-BR"/>
        </w:rPr>
        <w:t xml:space="preserve">. </w:t>
      </w:r>
      <w:proofErr w:type="gramStart"/>
      <w:r w:rsidRPr="007C77ED">
        <w:rPr>
          <w:rFonts w:ascii="Arial" w:eastAsia="Times New Roman" w:hAnsi="Arial" w:cs="Arial"/>
          <w:color w:val="FF0000"/>
          <w:sz w:val="20"/>
          <w:szCs w:val="20"/>
          <w:lang w:eastAsia="pt-BR"/>
        </w:rPr>
        <w:t>na</w:t>
      </w:r>
      <w:proofErr w:type="gramEnd"/>
      <w:r w:rsidRPr="007C77ED">
        <w:rPr>
          <w:rFonts w:ascii="Arial" w:eastAsia="Times New Roman" w:hAnsi="Arial" w:cs="Arial"/>
          <w:color w:val="FF0000"/>
          <w:sz w:val="20"/>
          <w:szCs w:val="20"/>
          <w:lang w:eastAsia="pt-BR"/>
        </w:rPr>
        <w:t xml:space="preserve"> composição do mapa de preços sejam utilizadas múltiplas fontes de pesquisa; </w:t>
      </w:r>
    </w:p>
    <w:p w:rsidR="00CA7D8E" w:rsidRPr="007C77ED" w:rsidRDefault="00CA7D8E" w:rsidP="00CA7D8E">
      <w:pPr>
        <w:spacing w:after="120" w:line="240" w:lineRule="auto"/>
        <w:jc w:val="both"/>
        <w:rPr>
          <w:rFonts w:ascii="Arial" w:eastAsia="Times New Roman" w:hAnsi="Arial" w:cs="Arial"/>
          <w:color w:val="FF0000"/>
          <w:sz w:val="20"/>
          <w:szCs w:val="20"/>
          <w:lang w:eastAsia="pt-BR"/>
        </w:rPr>
      </w:pPr>
      <w:r w:rsidRPr="007C77ED">
        <w:rPr>
          <w:rFonts w:ascii="Arial" w:eastAsia="Times New Roman" w:hAnsi="Arial" w:cs="Arial"/>
          <w:b/>
          <w:color w:val="FF0000"/>
          <w:sz w:val="20"/>
          <w:szCs w:val="20"/>
          <w:lang w:eastAsia="pt-BR"/>
        </w:rPr>
        <w:t>4.4.3.2.</w:t>
      </w:r>
      <w:r w:rsidRPr="007C77ED">
        <w:rPr>
          <w:rFonts w:ascii="Arial" w:eastAsia="Times New Roman" w:hAnsi="Arial" w:cs="Arial"/>
          <w:color w:val="FF0000"/>
          <w:sz w:val="20"/>
          <w:szCs w:val="20"/>
          <w:lang w:eastAsia="pt-BR"/>
        </w:rPr>
        <w:t xml:space="preserve"> </w:t>
      </w:r>
      <w:proofErr w:type="gramStart"/>
      <w:r w:rsidRPr="007C77ED">
        <w:rPr>
          <w:rFonts w:ascii="Arial" w:eastAsia="Times New Roman" w:hAnsi="Arial" w:cs="Arial"/>
          <w:color w:val="FF0000"/>
          <w:sz w:val="20"/>
          <w:szCs w:val="20"/>
          <w:lang w:eastAsia="pt-BR"/>
        </w:rPr>
        <w:t>a</w:t>
      </w:r>
      <w:proofErr w:type="gramEnd"/>
      <w:r w:rsidRPr="007C77ED">
        <w:rPr>
          <w:rFonts w:ascii="Arial" w:eastAsia="Times New Roman" w:hAnsi="Arial" w:cs="Arial"/>
          <w:color w:val="FF0000"/>
          <w:sz w:val="20"/>
          <w:szCs w:val="20"/>
          <w:lang w:eastAsia="pt-BR"/>
        </w:rPr>
        <w:t xml:space="preserve"> pesquisa de preços seja realizada com amplitude suficiente e proporcional ao risco da compra, tendo em vista que o objetivo da licitação é a seleção da proposta mais vantajosa;</w:t>
      </w:r>
    </w:p>
    <w:p w:rsidR="00CA7D8E" w:rsidRPr="007C77ED" w:rsidRDefault="00CA7D8E" w:rsidP="00CA7D8E">
      <w:pPr>
        <w:spacing w:after="120" w:line="240" w:lineRule="auto"/>
        <w:jc w:val="both"/>
        <w:rPr>
          <w:rFonts w:ascii="Arial" w:eastAsia="Times New Roman" w:hAnsi="Arial" w:cs="Arial"/>
          <w:color w:val="FF0000"/>
          <w:sz w:val="20"/>
          <w:szCs w:val="20"/>
          <w:lang w:eastAsia="pt-BR"/>
        </w:rPr>
      </w:pPr>
      <w:r w:rsidRPr="007C77ED">
        <w:rPr>
          <w:rFonts w:ascii="Arial" w:eastAsia="Times New Roman" w:hAnsi="Arial" w:cs="Arial"/>
          <w:b/>
          <w:color w:val="FF0000"/>
          <w:sz w:val="20"/>
          <w:szCs w:val="20"/>
          <w:lang w:eastAsia="pt-BR"/>
        </w:rPr>
        <w:t>4.4.3.3.</w:t>
      </w:r>
      <w:r w:rsidRPr="007C77ED">
        <w:rPr>
          <w:rFonts w:ascii="Arial" w:eastAsia="Times New Roman" w:hAnsi="Arial" w:cs="Arial"/>
          <w:color w:val="FF0000"/>
          <w:sz w:val="20"/>
          <w:szCs w:val="20"/>
          <w:lang w:eastAsia="pt-BR"/>
        </w:rPr>
        <w:t xml:space="preserve"> </w:t>
      </w:r>
      <w:proofErr w:type="gramStart"/>
      <w:r w:rsidRPr="007C77ED">
        <w:rPr>
          <w:rFonts w:ascii="Arial" w:eastAsia="Times New Roman" w:hAnsi="Arial" w:cs="Arial"/>
          <w:color w:val="FF0000"/>
          <w:sz w:val="20"/>
          <w:szCs w:val="20"/>
          <w:lang w:eastAsia="pt-BR"/>
        </w:rPr>
        <w:t>a</w:t>
      </w:r>
      <w:proofErr w:type="gramEnd"/>
      <w:r w:rsidRPr="007C77ED">
        <w:rPr>
          <w:rFonts w:ascii="Arial" w:eastAsia="Times New Roman" w:hAnsi="Arial" w:cs="Arial"/>
          <w:color w:val="FF0000"/>
          <w:sz w:val="20"/>
          <w:szCs w:val="20"/>
          <w:lang w:eastAsia="pt-BR"/>
        </w:rPr>
        <w:t xml:space="preserve"> cesta de preços aceitáveis deve ser analisada de forma crítica, principalmente quando houver grande variação entre os valores apresentados, cabendo à unidade competente pela pesquisa de preço desconsiderar os valores inexequíveis, inconsistentes e os excessivamente elevados, de modo a evitar distorções no custo médio apurado e, consequentemente, o valor máximo a ser aceito para cada item licitado.</w:t>
      </w:r>
    </w:p>
    <w:p w:rsidR="00CA7D8E" w:rsidRPr="007C77ED" w:rsidRDefault="00CA7D8E" w:rsidP="00CA7D8E">
      <w:pPr>
        <w:pBdr>
          <w:top w:val="single" w:sz="4" w:space="1" w:color="auto"/>
          <w:left w:val="single" w:sz="4" w:space="4" w:color="auto"/>
          <w:bottom w:val="single" w:sz="4" w:space="1" w:color="auto"/>
          <w:right w:val="single" w:sz="4" w:space="4" w:color="auto"/>
        </w:pBdr>
        <w:shd w:val="pct10" w:color="auto" w:fill="auto"/>
        <w:spacing w:after="120" w:line="240" w:lineRule="auto"/>
        <w:jc w:val="both"/>
        <w:rPr>
          <w:rFonts w:ascii="Arial" w:hAnsi="Arial" w:cs="Arial"/>
          <w:b/>
          <w:sz w:val="20"/>
          <w:szCs w:val="20"/>
        </w:rPr>
      </w:pPr>
      <w:r w:rsidRPr="007C77ED">
        <w:rPr>
          <w:rFonts w:ascii="Arial" w:hAnsi="Arial" w:cs="Arial"/>
          <w:b/>
          <w:sz w:val="20"/>
          <w:szCs w:val="20"/>
        </w:rPr>
        <w:t>Nota explicativa:</w:t>
      </w:r>
      <w:r w:rsidRPr="007C77ED">
        <w:rPr>
          <w:rFonts w:ascii="Arial" w:hAnsi="Arial" w:cs="Arial"/>
          <w:sz w:val="20"/>
          <w:szCs w:val="20"/>
        </w:rPr>
        <w:t xml:space="preserve"> Utilizar a primeira alternativa de redação do item 4.4., </w:t>
      </w:r>
      <w:r w:rsidRPr="007C77ED">
        <w:rPr>
          <w:rFonts w:ascii="Arial" w:hAnsi="Arial" w:cs="Arial"/>
          <w:sz w:val="20"/>
          <w:szCs w:val="20"/>
          <w:u w:val="single"/>
        </w:rPr>
        <w:t>acima,</w:t>
      </w:r>
      <w:r w:rsidRPr="007C77ED">
        <w:rPr>
          <w:rFonts w:ascii="Arial" w:hAnsi="Arial" w:cs="Arial"/>
          <w:sz w:val="20"/>
          <w:szCs w:val="20"/>
        </w:rPr>
        <w:t xml:space="preserve"> acaso se esteja diante de recursos cujo controle externo seja de competência do </w:t>
      </w:r>
      <w:r w:rsidRPr="007C77ED">
        <w:rPr>
          <w:rFonts w:ascii="Arial" w:hAnsi="Arial" w:cs="Arial"/>
          <w:sz w:val="20"/>
          <w:szCs w:val="20"/>
          <w:u w:val="single"/>
        </w:rPr>
        <w:t>Tribunal de Contas do Estado de Mato Grosso do Sul</w:t>
      </w:r>
      <w:r w:rsidRPr="007C77ED">
        <w:rPr>
          <w:rFonts w:ascii="Arial" w:hAnsi="Arial" w:cs="Arial"/>
          <w:sz w:val="20"/>
          <w:szCs w:val="20"/>
        </w:rPr>
        <w:t xml:space="preserve">.  </w:t>
      </w:r>
    </w:p>
    <w:p w:rsidR="00CA7D8E" w:rsidRPr="007C77ED" w:rsidRDefault="00CA7D8E" w:rsidP="00CA7D8E">
      <w:pPr>
        <w:spacing w:after="0" w:line="240" w:lineRule="auto"/>
        <w:jc w:val="both"/>
        <w:rPr>
          <w:rFonts w:ascii="Arial" w:hAnsi="Arial" w:cs="Arial"/>
          <w:b/>
          <w:color w:val="FF0000"/>
          <w:sz w:val="20"/>
          <w:szCs w:val="20"/>
          <w:highlight w:val="yellow"/>
          <w:u w:val="single"/>
        </w:rPr>
      </w:pPr>
    </w:p>
    <w:p w:rsidR="00CA7D8E" w:rsidRPr="007C77ED" w:rsidRDefault="00CA7D8E" w:rsidP="00CA7D8E">
      <w:pPr>
        <w:spacing w:after="0" w:line="240" w:lineRule="auto"/>
        <w:jc w:val="both"/>
        <w:rPr>
          <w:rFonts w:ascii="Arial" w:hAnsi="Arial" w:cs="Arial"/>
          <w:b/>
          <w:color w:val="FF0000"/>
          <w:sz w:val="20"/>
          <w:szCs w:val="20"/>
          <w:u w:val="single"/>
        </w:rPr>
      </w:pPr>
      <w:r w:rsidRPr="007C77ED">
        <w:rPr>
          <w:rFonts w:ascii="Arial" w:hAnsi="Arial" w:cs="Arial"/>
          <w:b/>
          <w:color w:val="FF0000"/>
          <w:sz w:val="20"/>
          <w:szCs w:val="20"/>
          <w:highlight w:val="yellow"/>
          <w:u w:val="single"/>
        </w:rPr>
        <w:t>OU</w:t>
      </w:r>
    </w:p>
    <w:p w:rsidR="00CA7D8E" w:rsidRPr="007C77ED" w:rsidRDefault="00CA7D8E" w:rsidP="00CA7D8E">
      <w:pPr>
        <w:spacing w:after="120" w:line="240" w:lineRule="auto"/>
        <w:jc w:val="both"/>
        <w:rPr>
          <w:rFonts w:ascii="Arial" w:eastAsia="Times New Roman" w:hAnsi="Arial" w:cs="Arial"/>
          <w:color w:val="000000" w:themeColor="text1"/>
          <w:sz w:val="20"/>
          <w:szCs w:val="20"/>
          <w:lang w:eastAsia="pt-BR"/>
        </w:rPr>
      </w:pPr>
    </w:p>
    <w:p w:rsidR="00CA7D8E" w:rsidRPr="007C77ED" w:rsidRDefault="00CA7D8E" w:rsidP="00CA7D8E">
      <w:pPr>
        <w:spacing w:after="120" w:line="240" w:lineRule="auto"/>
        <w:jc w:val="both"/>
        <w:rPr>
          <w:rFonts w:ascii="Arial" w:eastAsia="Times New Roman" w:hAnsi="Arial" w:cs="Arial"/>
          <w:color w:val="FF0000"/>
          <w:sz w:val="20"/>
          <w:szCs w:val="20"/>
          <w:lang w:eastAsia="pt-BR"/>
        </w:rPr>
      </w:pPr>
      <w:r w:rsidRPr="007C77ED">
        <w:rPr>
          <w:rFonts w:ascii="Arial" w:eastAsia="Times New Roman" w:hAnsi="Arial" w:cs="Arial"/>
          <w:b/>
          <w:color w:val="FF0000"/>
          <w:sz w:val="20"/>
          <w:szCs w:val="20"/>
          <w:lang w:eastAsia="pt-BR"/>
        </w:rPr>
        <w:lastRenderedPageBreak/>
        <w:t>4.4.</w:t>
      </w:r>
      <w:r w:rsidRPr="007C77ED">
        <w:rPr>
          <w:rFonts w:ascii="Arial" w:eastAsia="Times New Roman" w:hAnsi="Arial" w:cs="Arial"/>
          <w:color w:val="FF0000"/>
          <w:sz w:val="20"/>
          <w:szCs w:val="20"/>
          <w:lang w:eastAsia="pt-BR"/>
        </w:rPr>
        <w:t xml:space="preserve"> Considerando que os recursos destinados à aquisição dos medicamentos estão sujeitos ao controle externo do Tribunal de Contas da União, a pesquisa de preço para o presente processo licitatório de aquisição de medicamentos terá como parâmetro apto para os preços praticados no mercado, prioritariamente, os valores lançados no denominado Banco de Preços em Saúde (BPS), criado pelo Ministério da Saúde e disponibilizado no endereço eletrônico http://bps.saude.gov.br/login.jsf, em consonância com a recente orientação do TCU (Acórdão 10.531/2018 – Primeira Câmara, TCU).</w:t>
      </w:r>
    </w:p>
    <w:p w:rsidR="00CA7D8E" w:rsidRPr="007C77ED" w:rsidRDefault="00CA7D8E" w:rsidP="00CA7D8E">
      <w:pPr>
        <w:spacing w:after="120" w:line="240" w:lineRule="auto"/>
        <w:jc w:val="both"/>
        <w:rPr>
          <w:rFonts w:ascii="Arial" w:eastAsia="Times New Roman" w:hAnsi="Arial" w:cs="Arial"/>
          <w:color w:val="FF0000"/>
          <w:sz w:val="20"/>
          <w:szCs w:val="20"/>
          <w:lang w:eastAsia="pt-BR"/>
        </w:rPr>
      </w:pPr>
      <w:r w:rsidRPr="007C77ED">
        <w:rPr>
          <w:rFonts w:ascii="Arial" w:eastAsia="Times New Roman" w:hAnsi="Arial" w:cs="Arial"/>
          <w:b/>
          <w:color w:val="FF0000"/>
          <w:sz w:val="20"/>
          <w:szCs w:val="20"/>
          <w:lang w:eastAsia="pt-BR"/>
        </w:rPr>
        <w:t>4.4.1.</w:t>
      </w:r>
      <w:r w:rsidRPr="007C77ED">
        <w:rPr>
          <w:rFonts w:ascii="Arial" w:eastAsia="Times New Roman" w:hAnsi="Arial" w:cs="Arial"/>
          <w:color w:val="FF0000"/>
          <w:sz w:val="20"/>
          <w:szCs w:val="20"/>
          <w:lang w:eastAsia="pt-BR"/>
        </w:rPr>
        <w:t xml:space="preserve"> Além de consulta ao BPS, pode se recorrer a outras fontes de pesquisas que espelham as contratações firmadas pela Administração Pública com o fim de aquisição de medicamentos, sem necessidade de motivação com relação a adoção desse parâmetro de pesquisa, já que:</w:t>
      </w:r>
    </w:p>
    <w:p w:rsidR="00CA7D8E" w:rsidRPr="007C77ED" w:rsidRDefault="00CA7D8E" w:rsidP="00CA7D8E">
      <w:pPr>
        <w:spacing w:after="120" w:line="240" w:lineRule="auto"/>
        <w:jc w:val="both"/>
        <w:rPr>
          <w:rFonts w:ascii="Arial" w:eastAsia="Times New Roman" w:hAnsi="Arial" w:cs="Arial"/>
          <w:color w:val="FF0000"/>
          <w:sz w:val="20"/>
          <w:szCs w:val="20"/>
          <w:lang w:eastAsia="pt-BR"/>
        </w:rPr>
      </w:pPr>
      <w:r w:rsidRPr="007C77ED">
        <w:rPr>
          <w:rFonts w:ascii="Arial" w:eastAsia="Times New Roman" w:hAnsi="Arial" w:cs="Arial"/>
          <w:b/>
          <w:color w:val="FF0000"/>
          <w:sz w:val="20"/>
          <w:szCs w:val="20"/>
          <w:lang w:eastAsia="pt-BR"/>
        </w:rPr>
        <w:t>4.4.1.1.</w:t>
      </w:r>
      <w:r w:rsidRPr="007C77ED">
        <w:rPr>
          <w:rFonts w:ascii="Arial" w:eastAsia="Times New Roman" w:hAnsi="Arial" w:cs="Arial"/>
          <w:color w:val="FF0000"/>
          <w:sz w:val="20"/>
          <w:szCs w:val="20"/>
          <w:lang w:eastAsia="pt-BR"/>
        </w:rPr>
        <w:t xml:space="preserve"> </w:t>
      </w:r>
      <w:proofErr w:type="gramStart"/>
      <w:r w:rsidRPr="007C77ED">
        <w:rPr>
          <w:rFonts w:ascii="Arial" w:eastAsia="Times New Roman" w:hAnsi="Arial" w:cs="Arial"/>
          <w:color w:val="FF0000"/>
          <w:sz w:val="20"/>
          <w:szCs w:val="20"/>
          <w:lang w:eastAsia="pt-BR"/>
        </w:rPr>
        <w:t>o</w:t>
      </w:r>
      <w:proofErr w:type="gramEnd"/>
      <w:r w:rsidRPr="007C77ED">
        <w:rPr>
          <w:rFonts w:ascii="Arial" w:eastAsia="Times New Roman" w:hAnsi="Arial" w:cs="Arial"/>
          <w:color w:val="FF0000"/>
          <w:sz w:val="20"/>
          <w:szCs w:val="20"/>
          <w:lang w:eastAsia="pt-BR"/>
        </w:rPr>
        <w:t xml:space="preserve"> BPS é um sistema criado pelo Ministério da Saúde com o objetivo de registrar e disponibilizar informações das compras públicas e privadas de medicamentos e produtos para a saúde; e</w:t>
      </w:r>
    </w:p>
    <w:p w:rsidR="00CA7D8E" w:rsidRPr="007C77ED" w:rsidRDefault="00CA7D8E" w:rsidP="00CA7D8E">
      <w:pPr>
        <w:spacing w:after="120" w:line="240" w:lineRule="auto"/>
        <w:jc w:val="both"/>
        <w:rPr>
          <w:rFonts w:ascii="Arial" w:eastAsia="Times New Roman" w:hAnsi="Arial" w:cs="Arial"/>
          <w:color w:val="FF0000"/>
          <w:sz w:val="20"/>
          <w:szCs w:val="20"/>
          <w:lang w:eastAsia="pt-BR"/>
        </w:rPr>
      </w:pPr>
      <w:r w:rsidRPr="007C77ED">
        <w:rPr>
          <w:rFonts w:ascii="Arial" w:eastAsia="Times New Roman" w:hAnsi="Arial" w:cs="Arial"/>
          <w:b/>
          <w:color w:val="FF0000"/>
          <w:sz w:val="20"/>
          <w:szCs w:val="20"/>
          <w:lang w:eastAsia="pt-BR"/>
        </w:rPr>
        <w:t>4.4.1.2.</w:t>
      </w:r>
      <w:r w:rsidRPr="007C77ED">
        <w:rPr>
          <w:rFonts w:ascii="Arial" w:eastAsia="Times New Roman" w:hAnsi="Arial" w:cs="Arial"/>
          <w:color w:val="FF0000"/>
          <w:sz w:val="20"/>
          <w:szCs w:val="20"/>
          <w:lang w:eastAsia="pt-BR"/>
        </w:rPr>
        <w:t xml:space="preserve"> </w:t>
      </w:r>
      <w:proofErr w:type="gramStart"/>
      <w:r w:rsidRPr="007C77ED">
        <w:rPr>
          <w:rFonts w:ascii="Arial" w:eastAsia="Times New Roman" w:hAnsi="Arial" w:cs="Arial"/>
          <w:color w:val="FF0000"/>
          <w:sz w:val="20"/>
          <w:szCs w:val="20"/>
          <w:lang w:eastAsia="pt-BR"/>
        </w:rPr>
        <w:t>o</w:t>
      </w:r>
      <w:proofErr w:type="gramEnd"/>
      <w:r w:rsidRPr="007C77ED">
        <w:rPr>
          <w:rFonts w:ascii="Arial" w:eastAsia="Times New Roman" w:hAnsi="Arial" w:cs="Arial"/>
          <w:color w:val="FF0000"/>
          <w:sz w:val="20"/>
          <w:szCs w:val="20"/>
          <w:lang w:eastAsia="pt-BR"/>
        </w:rPr>
        <w:t xml:space="preserve"> fato de uma contratação firmada ou ata de registro de preço assinada pela Administração Pública não estar lançado no BPS não descaracteriza como contratação pública.</w:t>
      </w:r>
    </w:p>
    <w:p w:rsidR="00CA7D8E" w:rsidRPr="007C77ED" w:rsidRDefault="00CA7D8E" w:rsidP="00CA7D8E">
      <w:pPr>
        <w:spacing w:after="120" w:line="240" w:lineRule="auto"/>
        <w:jc w:val="both"/>
        <w:rPr>
          <w:rFonts w:ascii="Arial" w:eastAsia="Times New Roman" w:hAnsi="Arial" w:cs="Arial"/>
          <w:color w:val="FF0000"/>
          <w:sz w:val="20"/>
          <w:szCs w:val="20"/>
          <w:lang w:eastAsia="pt-BR"/>
        </w:rPr>
      </w:pPr>
      <w:r w:rsidRPr="007C77ED">
        <w:rPr>
          <w:rFonts w:ascii="Arial" w:eastAsia="Times New Roman" w:hAnsi="Arial" w:cs="Arial"/>
          <w:b/>
          <w:color w:val="FF0000"/>
          <w:sz w:val="20"/>
          <w:szCs w:val="20"/>
          <w:lang w:eastAsia="pt-BR"/>
        </w:rPr>
        <w:t>4.4.1.3.</w:t>
      </w:r>
      <w:r w:rsidRPr="007C77ED">
        <w:rPr>
          <w:rFonts w:ascii="Arial" w:eastAsia="Times New Roman" w:hAnsi="Arial" w:cs="Arial"/>
          <w:color w:val="FF0000"/>
          <w:sz w:val="20"/>
          <w:szCs w:val="20"/>
          <w:lang w:eastAsia="pt-BR"/>
        </w:rPr>
        <w:t xml:space="preserve"> Excepcionalmente, se, em razão de motivos técnicos ou até de gestão pública, os elaboradores da pesquisa de preços ficarem impossibilitados de se utilizarem do banco de preço, será possível proferir decisão pela inviabilidade da adoção do banco de preço, desde que devidamente motivado nos autos, com demonstração das circunstâncias práticas, obstáculos e dificuldades reais do gestor que limitam a sua ação na escolha do procedimento aqui sugerido, em consonância com o regramento estabelecido no art. 22, caput e § 1º, da Lei de Introdução às Normas do Direito Brasileiro.</w:t>
      </w:r>
    </w:p>
    <w:p w:rsidR="00CA7D8E" w:rsidRPr="007C77ED" w:rsidRDefault="00CA7D8E" w:rsidP="00CA7D8E">
      <w:pPr>
        <w:spacing w:after="120" w:line="240" w:lineRule="auto"/>
        <w:jc w:val="both"/>
        <w:rPr>
          <w:rFonts w:ascii="Arial" w:eastAsia="Times New Roman" w:hAnsi="Arial" w:cs="Arial"/>
          <w:color w:val="FF0000"/>
          <w:sz w:val="20"/>
          <w:szCs w:val="20"/>
          <w:lang w:eastAsia="pt-BR"/>
        </w:rPr>
      </w:pPr>
      <w:r w:rsidRPr="007C77ED">
        <w:rPr>
          <w:rFonts w:ascii="Arial" w:eastAsia="Times New Roman" w:hAnsi="Arial" w:cs="Arial"/>
          <w:b/>
          <w:color w:val="FF0000"/>
          <w:sz w:val="20"/>
          <w:szCs w:val="20"/>
          <w:lang w:eastAsia="pt-BR"/>
        </w:rPr>
        <w:t>4.4.1.4.</w:t>
      </w:r>
      <w:r w:rsidRPr="007C77ED">
        <w:rPr>
          <w:rFonts w:ascii="Arial" w:eastAsia="Times New Roman" w:hAnsi="Arial" w:cs="Arial"/>
          <w:color w:val="FF0000"/>
          <w:sz w:val="20"/>
          <w:szCs w:val="20"/>
          <w:lang w:eastAsia="pt-BR"/>
        </w:rPr>
        <w:t xml:space="preserve"> Estando-se diante da hipótese descrita no subitem 4.4 (utilização de recursos sujeitos ao controle pelo E. TCU), fica vedada a realização de pesquisa com base na denominada Tabela CMED, porquanto os preços da CMED são referenciais máximos que a lei permite a um fabricante de medicamento vender seu produto, o que não se confunde com os preços praticados pelo mercado (Acórdão 10531/2018-1ª Câmara).</w:t>
      </w:r>
    </w:p>
    <w:p w:rsidR="00CA7D8E" w:rsidRPr="007C77ED" w:rsidRDefault="00CA7D8E" w:rsidP="00CA7D8E">
      <w:pPr>
        <w:spacing w:after="120" w:line="240" w:lineRule="auto"/>
        <w:jc w:val="both"/>
        <w:rPr>
          <w:rFonts w:ascii="Arial" w:eastAsia="Times New Roman" w:hAnsi="Arial" w:cs="Arial"/>
          <w:color w:val="000000" w:themeColor="text1"/>
          <w:sz w:val="20"/>
          <w:szCs w:val="20"/>
          <w:lang w:eastAsia="pt-BR"/>
        </w:rPr>
      </w:pPr>
    </w:p>
    <w:p w:rsidR="00CA7D8E" w:rsidRPr="007C77ED" w:rsidRDefault="00CA7D8E" w:rsidP="00CA7D8E">
      <w:pPr>
        <w:pBdr>
          <w:top w:val="single" w:sz="4" w:space="1" w:color="auto"/>
          <w:left w:val="single" w:sz="4" w:space="4" w:color="auto"/>
          <w:bottom w:val="single" w:sz="4" w:space="1" w:color="auto"/>
          <w:right w:val="single" w:sz="4" w:space="4" w:color="auto"/>
        </w:pBdr>
        <w:shd w:val="pct10" w:color="auto" w:fill="auto"/>
        <w:spacing w:after="120" w:line="240" w:lineRule="auto"/>
        <w:jc w:val="both"/>
        <w:rPr>
          <w:rFonts w:ascii="Arial" w:hAnsi="Arial" w:cs="Arial"/>
          <w:b/>
          <w:sz w:val="20"/>
          <w:szCs w:val="20"/>
        </w:rPr>
      </w:pPr>
      <w:r w:rsidRPr="007C77ED">
        <w:rPr>
          <w:rFonts w:ascii="Arial" w:hAnsi="Arial" w:cs="Arial"/>
          <w:b/>
          <w:sz w:val="20"/>
          <w:szCs w:val="20"/>
        </w:rPr>
        <w:t>Nota explicativa:</w:t>
      </w:r>
      <w:r w:rsidRPr="007C77ED">
        <w:rPr>
          <w:rFonts w:ascii="Arial" w:hAnsi="Arial" w:cs="Arial"/>
          <w:sz w:val="20"/>
          <w:szCs w:val="20"/>
        </w:rPr>
        <w:t xml:space="preserve"> Utilizar a segunda alternativa de redação do item 4.4., </w:t>
      </w:r>
      <w:r w:rsidRPr="007C77ED">
        <w:rPr>
          <w:rFonts w:ascii="Arial" w:hAnsi="Arial" w:cs="Arial"/>
          <w:sz w:val="20"/>
          <w:szCs w:val="20"/>
          <w:u w:val="single"/>
        </w:rPr>
        <w:t>acima,</w:t>
      </w:r>
      <w:r w:rsidRPr="007C77ED">
        <w:rPr>
          <w:rFonts w:ascii="Arial" w:hAnsi="Arial" w:cs="Arial"/>
          <w:sz w:val="20"/>
          <w:szCs w:val="20"/>
        </w:rPr>
        <w:t xml:space="preserve"> acaso se esteja diante de recursos cujo controle externo seja de competência do </w:t>
      </w:r>
      <w:r w:rsidRPr="007C77ED">
        <w:rPr>
          <w:rFonts w:ascii="Arial" w:hAnsi="Arial" w:cs="Arial"/>
          <w:sz w:val="20"/>
          <w:szCs w:val="20"/>
          <w:u w:val="single"/>
        </w:rPr>
        <w:t>Tribunal de Contas da União</w:t>
      </w:r>
      <w:r w:rsidRPr="007C77ED">
        <w:rPr>
          <w:rFonts w:ascii="Arial" w:hAnsi="Arial" w:cs="Arial"/>
          <w:sz w:val="20"/>
          <w:szCs w:val="20"/>
        </w:rPr>
        <w:t xml:space="preserve">.  </w:t>
      </w:r>
    </w:p>
    <w:p w:rsidR="00CA7D8E" w:rsidRPr="007C77ED" w:rsidRDefault="00CA7D8E" w:rsidP="00CA7D8E">
      <w:pPr>
        <w:spacing w:after="120" w:line="240" w:lineRule="auto"/>
        <w:jc w:val="both"/>
        <w:rPr>
          <w:rFonts w:ascii="Arial" w:eastAsia="Times New Roman" w:hAnsi="Arial" w:cs="Arial"/>
          <w:color w:val="000000" w:themeColor="text1"/>
          <w:sz w:val="20"/>
          <w:szCs w:val="20"/>
          <w:lang w:eastAsia="pt-BR"/>
        </w:rPr>
      </w:pPr>
    </w:p>
    <w:p w:rsidR="00CA7D8E" w:rsidRPr="007C77ED" w:rsidRDefault="00CA7D8E" w:rsidP="00CA7D8E">
      <w:pPr>
        <w:spacing w:after="120" w:line="240" w:lineRule="auto"/>
        <w:jc w:val="both"/>
        <w:rPr>
          <w:rFonts w:ascii="Arial" w:eastAsia="Times New Roman" w:hAnsi="Arial" w:cs="Arial"/>
          <w:sz w:val="20"/>
          <w:szCs w:val="20"/>
          <w:lang w:eastAsia="pt-BR"/>
        </w:rPr>
      </w:pPr>
      <w:r w:rsidRPr="007C77ED">
        <w:rPr>
          <w:rFonts w:ascii="Arial" w:eastAsia="Times New Roman" w:hAnsi="Arial" w:cs="Arial"/>
          <w:b/>
          <w:sz w:val="20"/>
          <w:szCs w:val="20"/>
          <w:lang w:eastAsia="pt-BR"/>
        </w:rPr>
        <w:t>4.5.</w:t>
      </w:r>
      <w:r w:rsidRPr="007C77ED">
        <w:rPr>
          <w:rFonts w:ascii="Arial" w:eastAsia="Times New Roman" w:hAnsi="Arial" w:cs="Arial"/>
          <w:sz w:val="20"/>
          <w:szCs w:val="20"/>
          <w:lang w:eastAsia="pt-BR"/>
        </w:rPr>
        <w:t xml:space="preserve"> O procedimento para a pesquisa de preços observará: </w:t>
      </w:r>
    </w:p>
    <w:p w:rsidR="00CA7D8E" w:rsidRPr="007C77ED" w:rsidRDefault="00CA7D8E" w:rsidP="00CA7D8E">
      <w:pPr>
        <w:spacing w:after="120" w:line="240" w:lineRule="auto"/>
        <w:jc w:val="both"/>
        <w:rPr>
          <w:rFonts w:ascii="Arial" w:eastAsia="Times New Roman" w:hAnsi="Arial" w:cs="Arial"/>
          <w:sz w:val="20"/>
          <w:szCs w:val="20"/>
          <w:lang w:eastAsia="pt-BR"/>
        </w:rPr>
      </w:pPr>
      <w:r w:rsidRPr="007C77ED">
        <w:rPr>
          <w:rFonts w:ascii="Arial" w:eastAsia="Times New Roman" w:hAnsi="Arial" w:cs="Arial"/>
          <w:b/>
          <w:sz w:val="20"/>
          <w:szCs w:val="20"/>
          <w:lang w:eastAsia="pt-BR"/>
        </w:rPr>
        <w:t>4.5.1</w:t>
      </w:r>
      <w:r w:rsidRPr="007C77ED">
        <w:rPr>
          <w:rFonts w:ascii="Arial" w:eastAsia="Times New Roman" w:hAnsi="Arial" w:cs="Arial"/>
          <w:sz w:val="20"/>
          <w:szCs w:val="20"/>
          <w:lang w:eastAsia="pt-BR"/>
        </w:rPr>
        <w:t xml:space="preserve">. </w:t>
      </w:r>
      <w:proofErr w:type="gramStart"/>
      <w:r w:rsidRPr="007C77ED">
        <w:rPr>
          <w:rFonts w:ascii="Arial" w:eastAsia="Times New Roman" w:hAnsi="Arial" w:cs="Arial"/>
          <w:sz w:val="20"/>
          <w:szCs w:val="20"/>
          <w:lang w:eastAsia="pt-BR"/>
        </w:rPr>
        <w:t>o</w:t>
      </w:r>
      <w:proofErr w:type="gramEnd"/>
      <w:r w:rsidRPr="007C77ED">
        <w:rPr>
          <w:rFonts w:ascii="Arial" w:eastAsia="Times New Roman" w:hAnsi="Arial" w:cs="Arial"/>
          <w:sz w:val="20"/>
          <w:szCs w:val="20"/>
          <w:lang w:eastAsia="pt-BR"/>
        </w:rPr>
        <w:t xml:space="preserve"> disposto no Decreto Estadual nº 15.617/2021 ou o regulamento estadual correspondente que lhe venha substituir, quando diante de utilização de recurso estadual ou recurso não oriundo de transferência voluntária efetivada pela União;</w:t>
      </w:r>
    </w:p>
    <w:p w:rsidR="00CA7D8E" w:rsidRPr="007C77ED" w:rsidRDefault="00CA7D8E" w:rsidP="00CA7D8E">
      <w:pPr>
        <w:spacing w:after="120" w:line="240" w:lineRule="auto"/>
        <w:jc w:val="both"/>
        <w:rPr>
          <w:rFonts w:ascii="Arial" w:eastAsia="Times New Roman" w:hAnsi="Arial" w:cs="Arial"/>
          <w:sz w:val="20"/>
          <w:szCs w:val="20"/>
          <w:lang w:eastAsia="pt-BR"/>
        </w:rPr>
      </w:pPr>
      <w:r w:rsidRPr="007C77ED">
        <w:rPr>
          <w:rFonts w:ascii="Arial" w:eastAsia="Times New Roman" w:hAnsi="Arial" w:cs="Arial"/>
          <w:b/>
          <w:sz w:val="20"/>
          <w:szCs w:val="20"/>
          <w:lang w:eastAsia="pt-BR"/>
        </w:rPr>
        <w:t>4.5.2</w:t>
      </w:r>
      <w:r w:rsidRPr="007C77ED">
        <w:rPr>
          <w:rFonts w:ascii="Arial" w:eastAsia="Times New Roman" w:hAnsi="Arial" w:cs="Arial"/>
          <w:sz w:val="20"/>
          <w:szCs w:val="20"/>
          <w:lang w:eastAsia="pt-BR"/>
        </w:rPr>
        <w:t xml:space="preserve">. </w:t>
      </w:r>
      <w:proofErr w:type="gramStart"/>
      <w:r w:rsidRPr="007C77ED">
        <w:rPr>
          <w:rFonts w:ascii="Arial" w:eastAsia="Times New Roman" w:hAnsi="Arial" w:cs="Arial"/>
          <w:sz w:val="20"/>
          <w:szCs w:val="20"/>
          <w:lang w:eastAsia="pt-BR"/>
        </w:rPr>
        <w:t>a</w:t>
      </w:r>
      <w:proofErr w:type="gramEnd"/>
      <w:r w:rsidRPr="007C77ED">
        <w:rPr>
          <w:rFonts w:ascii="Arial" w:eastAsia="Times New Roman" w:hAnsi="Arial" w:cs="Arial"/>
          <w:sz w:val="20"/>
          <w:szCs w:val="20"/>
          <w:lang w:eastAsia="pt-BR"/>
        </w:rPr>
        <w:t xml:space="preserve"> IN MPOG n. 73, de 5 de agosto de 2020, ou o regulamento federal correspondente que lhe venha substituir, na hipótese de utilização de recurso oriundo de transferência voluntária efetivada pela União.</w:t>
      </w:r>
    </w:p>
    <w:p w:rsidR="00CA7D8E" w:rsidRPr="007C77ED" w:rsidRDefault="00CA7D8E" w:rsidP="00CA7D8E">
      <w:pPr>
        <w:spacing w:before="100" w:beforeAutospacing="1" w:after="100" w:afterAutospacing="1" w:line="240" w:lineRule="auto"/>
        <w:jc w:val="both"/>
        <w:rPr>
          <w:rFonts w:ascii="Arial" w:hAnsi="Arial" w:cs="Arial"/>
          <w:color w:val="FF0000"/>
          <w:sz w:val="20"/>
          <w:szCs w:val="20"/>
          <w:highlight w:val="red"/>
        </w:rPr>
      </w:pPr>
      <w:r w:rsidRPr="007C77ED">
        <w:rPr>
          <w:rFonts w:ascii="Arial" w:hAnsi="Arial" w:cs="Arial"/>
          <w:b/>
          <w:bCs/>
          <w:color w:val="FF0000"/>
          <w:sz w:val="20"/>
          <w:szCs w:val="20"/>
        </w:rPr>
        <w:t>4.6.</w:t>
      </w:r>
      <w:r w:rsidRPr="007C77ED">
        <w:rPr>
          <w:rFonts w:ascii="Arial" w:hAnsi="Arial" w:cs="Arial"/>
          <w:bCs/>
          <w:color w:val="FF0000"/>
          <w:sz w:val="20"/>
          <w:szCs w:val="20"/>
        </w:rPr>
        <w:t xml:space="preserve"> Depois de realizada a pesquisa de preços, </w:t>
      </w:r>
      <w:r w:rsidRPr="007C77ED">
        <w:rPr>
          <w:rFonts w:ascii="Arial" w:hAnsi="Arial" w:cs="Arial"/>
          <w:color w:val="FF0000"/>
          <w:sz w:val="20"/>
          <w:szCs w:val="20"/>
        </w:rPr>
        <w:t>fica a unidade administrativa competente AUTORIZADA a constar, como anexo do Edital, o preço de referência, a planilha com informações pertinentes ao item a ser licitado, a unidade de medida, o quantitativo e o preço máximo aceitável para a contratação, se for o caso.</w:t>
      </w:r>
    </w:p>
    <w:p w:rsidR="00CA7D8E" w:rsidRPr="007C77ED" w:rsidRDefault="00CA7D8E" w:rsidP="00CA7D8E">
      <w:pPr>
        <w:spacing w:after="0" w:line="240" w:lineRule="auto"/>
        <w:jc w:val="both"/>
        <w:rPr>
          <w:rFonts w:ascii="Arial" w:hAnsi="Arial" w:cs="Arial"/>
          <w:b/>
          <w:color w:val="000000" w:themeColor="text1"/>
          <w:sz w:val="20"/>
          <w:szCs w:val="20"/>
          <w:u w:val="single"/>
        </w:rPr>
      </w:pPr>
      <w:r w:rsidRPr="007C77ED">
        <w:rPr>
          <w:rFonts w:ascii="Arial" w:hAnsi="Arial" w:cs="Arial"/>
          <w:b/>
          <w:color w:val="FF0000"/>
          <w:sz w:val="20"/>
          <w:szCs w:val="20"/>
          <w:highlight w:val="yellow"/>
          <w:u w:val="single"/>
        </w:rPr>
        <w:t>OU</w:t>
      </w:r>
    </w:p>
    <w:p w:rsidR="00CA7D8E" w:rsidRPr="007C77ED" w:rsidRDefault="00CA7D8E" w:rsidP="00CA7D8E">
      <w:pPr>
        <w:spacing w:after="0" w:line="240" w:lineRule="auto"/>
        <w:jc w:val="both"/>
        <w:rPr>
          <w:rFonts w:ascii="Arial" w:hAnsi="Arial" w:cs="Arial"/>
          <w:b/>
          <w:color w:val="000000" w:themeColor="text1"/>
          <w:sz w:val="20"/>
          <w:szCs w:val="20"/>
          <w:u w:val="single"/>
        </w:rPr>
      </w:pPr>
    </w:p>
    <w:p w:rsidR="00CA7D8E" w:rsidRPr="007C77ED" w:rsidRDefault="00CA7D8E" w:rsidP="00CA7D8E">
      <w:pPr>
        <w:spacing w:after="0" w:line="240" w:lineRule="auto"/>
        <w:jc w:val="both"/>
        <w:rPr>
          <w:rFonts w:ascii="Arial" w:hAnsi="Arial" w:cs="Arial"/>
          <w:color w:val="FF0000"/>
          <w:sz w:val="20"/>
          <w:szCs w:val="20"/>
        </w:rPr>
      </w:pPr>
      <w:r w:rsidRPr="007C77ED">
        <w:rPr>
          <w:rFonts w:ascii="Arial" w:hAnsi="Arial" w:cs="Arial"/>
          <w:b/>
          <w:color w:val="FF0000"/>
          <w:sz w:val="20"/>
          <w:szCs w:val="20"/>
        </w:rPr>
        <w:t xml:space="preserve">4.6. </w:t>
      </w:r>
      <w:r w:rsidRPr="007C77ED">
        <w:rPr>
          <w:rFonts w:ascii="Arial" w:hAnsi="Arial" w:cs="Arial"/>
          <w:color w:val="FF0000"/>
          <w:sz w:val="20"/>
          <w:szCs w:val="20"/>
        </w:rPr>
        <w:t xml:space="preserve"> </w:t>
      </w:r>
      <w:r w:rsidRPr="007C77ED">
        <w:rPr>
          <w:rFonts w:ascii="Arial" w:hAnsi="Arial" w:cs="Arial"/>
          <w:bCs/>
          <w:color w:val="FF0000"/>
          <w:sz w:val="20"/>
          <w:szCs w:val="20"/>
        </w:rPr>
        <w:t xml:space="preserve">Depois de realizada a pesquisa de preços, </w:t>
      </w:r>
      <w:r w:rsidRPr="007C77ED">
        <w:rPr>
          <w:rFonts w:ascii="Arial" w:hAnsi="Arial" w:cs="Arial"/>
          <w:color w:val="FF0000"/>
          <w:sz w:val="20"/>
          <w:szCs w:val="20"/>
        </w:rPr>
        <w:t xml:space="preserve">fica a unidade administrativa competente IMPEDIDA de constar no Edital ou em seus anexos, o preço de referência e o preço máximo aceitável para a contratação, </w:t>
      </w:r>
      <w:r w:rsidRPr="007C77ED">
        <w:rPr>
          <w:rFonts w:ascii="Arial" w:hAnsi="Arial" w:cs="Arial"/>
          <w:b/>
          <w:color w:val="FF0000"/>
          <w:sz w:val="20"/>
          <w:szCs w:val="20"/>
        </w:rPr>
        <w:t>adotando-se o caráter sigiloso na presente licitação</w:t>
      </w:r>
      <w:r w:rsidRPr="007C77ED">
        <w:rPr>
          <w:rFonts w:ascii="Arial" w:hAnsi="Arial" w:cs="Arial"/>
          <w:color w:val="FF0000"/>
          <w:sz w:val="20"/>
          <w:szCs w:val="20"/>
        </w:rPr>
        <w:t>.</w:t>
      </w:r>
    </w:p>
    <w:p w:rsidR="00CA7D8E" w:rsidRPr="007C77ED" w:rsidRDefault="00CA7D8E" w:rsidP="00CA7D8E">
      <w:pPr>
        <w:spacing w:after="0" w:line="240" w:lineRule="auto"/>
        <w:jc w:val="both"/>
        <w:rPr>
          <w:rFonts w:ascii="Arial" w:hAnsi="Arial" w:cs="Arial"/>
          <w:color w:val="FF0000"/>
          <w:sz w:val="20"/>
          <w:szCs w:val="20"/>
        </w:rPr>
      </w:pPr>
    </w:p>
    <w:p w:rsidR="00CA7D8E" w:rsidRPr="007C77ED" w:rsidRDefault="00CA7D8E" w:rsidP="00CA7D8E">
      <w:pPr>
        <w:spacing w:after="120" w:line="240" w:lineRule="auto"/>
        <w:jc w:val="both"/>
        <w:rPr>
          <w:rFonts w:ascii="Arial" w:hAnsi="Arial" w:cs="Arial"/>
          <w:color w:val="FF0000"/>
          <w:sz w:val="20"/>
          <w:szCs w:val="20"/>
        </w:rPr>
      </w:pPr>
      <w:r w:rsidRPr="007C77ED">
        <w:rPr>
          <w:rFonts w:ascii="Arial" w:hAnsi="Arial" w:cs="Arial"/>
          <w:b/>
          <w:color w:val="FF0000"/>
          <w:sz w:val="20"/>
          <w:szCs w:val="20"/>
        </w:rPr>
        <w:t>4.6.1.</w:t>
      </w:r>
      <w:r w:rsidRPr="007C77ED">
        <w:rPr>
          <w:rFonts w:ascii="Arial" w:hAnsi="Arial" w:cs="Arial"/>
          <w:color w:val="FF0000"/>
          <w:sz w:val="20"/>
          <w:szCs w:val="20"/>
        </w:rPr>
        <w:t xml:space="preserve"> O custo estimado da contratação será tornado público apenas e imediatamente após o encerramento do envio de lances.</w:t>
      </w:r>
    </w:p>
    <w:p w:rsidR="00CA7D8E" w:rsidRPr="007C77ED" w:rsidRDefault="00CA7D8E" w:rsidP="00CA7D8E">
      <w:pPr>
        <w:spacing w:after="0" w:line="240" w:lineRule="auto"/>
        <w:jc w:val="both"/>
        <w:rPr>
          <w:rFonts w:ascii="Arial" w:hAnsi="Arial" w:cs="Arial"/>
          <w:color w:val="FF0000"/>
          <w:sz w:val="20"/>
          <w:szCs w:val="20"/>
        </w:rPr>
      </w:pPr>
      <w:r w:rsidRPr="007C77ED">
        <w:rPr>
          <w:rFonts w:ascii="Arial" w:hAnsi="Arial" w:cs="Arial"/>
          <w:b/>
          <w:color w:val="FF0000"/>
          <w:sz w:val="20"/>
          <w:szCs w:val="20"/>
        </w:rPr>
        <w:t>4.6.2.</w:t>
      </w:r>
      <w:r w:rsidRPr="007C77ED">
        <w:rPr>
          <w:rFonts w:ascii="Arial" w:hAnsi="Arial" w:cs="Arial"/>
          <w:color w:val="FF0000"/>
          <w:sz w:val="20"/>
          <w:szCs w:val="20"/>
        </w:rPr>
        <w:t xml:space="preserve"> Justifica-se a opção pelo caráter sigiloso no presente certame licitatório em razão da orientação do Tribunal de Contas da União (Acórdãos 903/2019-TCU-Plenário, Ministro Relator Augusto </w:t>
      </w:r>
      <w:proofErr w:type="spellStart"/>
      <w:r w:rsidRPr="007C77ED">
        <w:rPr>
          <w:rFonts w:ascii="Arial" w:hAnsi="Arial" w:cs="Arial"/>
          <w:color w:val="FF0000"/>
          <w:sz w:val="20"/>
          <w:szCs w:val="20"/>
        </w:rPr>
        <w:t>Nardes</w:t>
      </w:r>
      <w:proofErr w:type="spellEnd"/>
      <w:r w:rsidRPr="007C77ED">
        <w:rPr>
          <w:rFonts w:ascii="Arial" w:hAnsi="Arial" w:cs="Arial"/>
          <w:color w:val="FF0000"/>
          <w:sz w:val="20"/>
          <w:szCs w:val="20"/>
        </w:rPr>
        <w:t xml:space="preserve">, 2.150/2015-TCU-Plenário, Ministro Relator Bruno Dantas e 2.080/2012-TCU-Plenário, Ministro Relator José </w:t>
      </w:r>
      <w:r w:rsidRPr="007C77ED">
        <w:rPr>
          <w:rFonts w:ascii="Arial" w:hAnsi="Arial" w:cs="Arial"/>
          <w:color w:val="FF0000"/>
          <w:sz w:val="20"/>
          <w:szCs w:val="20"/>
        </w:rPr>
        <w:lastRenderedPageBreak/>
        <w:t>Jorge, itens III.3 e III.5) no sentido que, no caso das licitações para aquisição de medicamentos, a divulgação no edital do preço de referência pode prejudicar a obtenção da proposta mais vantajosa para a Administração (Acórdão 903/2019 – TCU - Plenário). Nessa linha, opta-se por manter o seu sigilo até a fase de lances, com o objetivo de buscar a proposta mais vantajosa para a Administração Pública Estadual.</w:t>
      </w:r>
    </w:p>
    <w:p w:rsidR="00CA7D8E" w:rsidRPr="007C77ED" w:rsidRDefault="00CA7D8E" w:rsidP="00CA7D8E">
      <w:pPr>
        <w:spacing w:after="0" w:line="240" w:lineRule="auto"/>
        <w:jc w:val="both"/>
        <w:rPr>
          <w:rFonts w:ascii="Arial" w:hAnsi="Arial" w:cs="Arial"/>
          <w:color w:val="FF0000"/>
          <w:sz w:val="20"/>
          <w:szCs w:val="20"/>
        </w:rPr>
      </w:pPr>
    </w:p>
    <w:p w:rsidR="00CA7D8E" w:rsidRPr="007C77ED" w:rsidRDefault="00CA7D8E" w:rsidP="00CA7D8E">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b/>
          <w:sz w:val="20"/>
          <w:szCs w:val="20"/>
        </w:rPr>
      </w:pPr>
      <w:r w:rsidRPr="007C77ED">
        <w:rPr>
          <w:rFonts w:ascii="Arial" w:hAnsi="Arial" w:cs="Arial"/>
          <w:b/>
          <w:sz w:val="20"/>
          <w:szCs w:val="20"/>
        </w:rPr>
        <w:t>Orientações práticas:</w:t>
      </w:r>
    </w:p>
    <w:p w:rsidR="00CA7D8E" w:rsidRPr="007C77ED" w:rsidRDefault="00CA7D8E" w:rsidP="00CA7D8E">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sz w:val="20"/>
          <w:szCs w:val="20"/>
        </w:rPr>
        <w:t>O sigilo ou não do valor estimado ou máximo aceitável está disciplinado no art. 15 do Decreto n. 15.327/19. A escolha pelo caráter sigiloso da proposta, por se tratar de regra de exceção, deve ser fundamentada com base no § 3º do art. 7º da Lei Federal nº 12.527, de 18 de novembro de 2011 e no art. 2º do Decreto Estadual nº 14.471, de 12 de maio de 2016.</w:t>
      </w:r>
    </w:p>
    <w:p w:rsidR="00CA7D8E" w:rsidRPr="007C77ED" w:rsidRDefault="00CA7D8E" w:rsidP="00CA7D8E">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sz w:val="20"/>
          <w:szCs w:val="20"/>
        </w:rPr>
        <w:t>Por esta razão, a redação acima poderá ser usada quando se adotar o orçamento sigiloso, sem afastar a possibilidade de outro fundamento que a equipe de planejamento julgar mais conveniente.</w:t>
      </w:r>
    </w:p>
    <w:p w:rsidR="00CA7D8E" w:rsidRPr="007C77ED" w:rsidRDefault="00CA7D8E" w:rsidP="00CA7D8E">
      <w:pPr>
        <w:spacing w:after="0" w:line="240" w:lineRule="auto"/>
        <w:jc w:val="both"/>
        <w:rPr>
          <w:rFonts w:ascii="Arial" w:hAnsi="Arial" w:cs="Arial"/>
          <w:color w:val="FF0000"/>
          <w:sz w:val="20"/>
          <w:szCs w:val="20"/>
        </w:rPr>
      </w:pPr>
    </w:p>
    <w:p w:rsidR="00CA7D8E" w:rsidRPr="007C77ED" w:rsidRDefault="00CA7D8E" w:rsidP="00CA7D8E">
      <w:pPr>
        <w:spacing w:after="0" w:line="240" w:lineRule="auto"/>
        <w:jc w:val="both"/>
        <w:rPr>
          <w:rFonts w:ascii="Arial" w:hAnsi="Arial" w:cs="Arial"/>
          <w:b/>
          <w:color w:val="000000"/>
          <w:sz w:val="20"/>
          <w:szCs w:val="20"/>
        </w:rPr>
      </w:pPr>
    </w:p>
    <w:p w:rsidR="00CA7D8E" w:rsidRPr="007C77ED" w:rsidRDefault="00CA7D8E" w:rsidP="00CA7D8E">
      <w:pPr>
        <w:spacing w:after="0" w:line="240" w:lineRule="auto"/>
        <w:jc w:val="both"/>
        <w:rPr>
          <w:rFonts w:ascii="Arial" w:hAnsi="Arial" w:cs="Arial"/>
          <w:color w:val="000000"/>
          <w:sz w:val="20"/>
          <w:szCs w:val="20"/>
        </w:rPr>
      </w:pPr>
      <w:r w:rsidRPr="007C77ED">
        <w:rPr>
          <w:rFonts w:ascii="Arial" w:hAnsi="Arial" w:cs="Arial"/>
          <w:b/>
          <w:color w:val="000000"/>
          <w:sz w:val="20"/>
          <w:szCs w:val="20"/>
        </w:rPr>
        <w:t>5. DO CRITÉRIO DE JULGAMENTO DAS PROPOSTAS</w:t>
      </w:r>
      <w:r w:rsidRPr="007C77ED">
        <w:rPr>
          <w:rFonts w:ascii="Arial" w:hAnsi="Arial" w:cs="Arial"/>
          <w:color w:val="000000"/>
          <w:sz w:val="20"/>
          <w:szCs w:val="20"/>
        </w:rPr>
        <w:t xml:space="preserve">          </w:t>
      </w:r>
    </w:p>
    <w:p w:rsidR="00CA7D8E" w:rsidRPr="007C77ED" w:rsidRDefault="00CA7D8E" w:rsidP="00CA7D8E">
      <w:pPr>
        <w:spacing w:after="0" w:line="240" w:lineRule="auto"/>
        <w:jc w:val="both"/>
        <w:rPr>
          <w:rFonts w:ascii="Arial" w:hAnsi="Arial" w:cs="Arial"/>
          <w:color w:val="000000"/>
          <w:sz w:val="20"/>
          <w:szCs w:val="20"/>
        </w:rPr>
      </w:pPr>
    </w:p>
    <w:p w:rsidR="00CA7D8E" w:rsidRPr="007C77ED" w:rsidRDefault="00CA7D8E" w:rsidP="00CA7D8E">
      <w:pPr>
        <w:widowControl w:val="0"/>
        <w:spacing w:after="0" w:line="240" w:lineRule="auto"/>
        <w:jc w:val="both"/>
        <w:rPr>
          <w:rFonts w:ascii="Arial" w:eastAsia="Times New Roman" w:hAnsi="Arial" w:cs="Arial"/>
          <w:color w:val="FF0000"/>
          <w:sz w:val="20"/>
          <w:szCs w:val="20"/>
          <w:lang w:eastAsia="pt-BR"/>
        </w:rPr>
      </w:pPr>
      <w:r w:rsidRPr="007C77ED">
        <w:rPr>
          <w:rFonts w:ascii="Arial" w:eastAsia="Times New Roman" w:hAnsi="Arial" w:cs="Arial"/>
          <w:b/>
          <w:color w:val="FF0000"/>
          <w:sz w:val="20"/>
          <w:szCs w:val="20"/>
          <w:lang w:eastAsia="pt-BR"/>
        </w:rPr>
        <w:t>5.1.</w:t>
      </w:r>
      <w:r w:rsidRPr="007C77ED">
        <w:rPr>
          <w:rFonts w:ascii="Arial" w:eastAsia="Times New Roman" w:hAnsi="Arial" w:cs="Arial"/>
          <w:color w:val="FF0000"/>
          <w:sz w:val="20"/>
          <w:szCs w:val="20"/>
          <w:lang w:eastAsia="pt-BR"/>
        </w:rPr>
        <w:t xml:space="preserve"> A licitação será dividida em itens, conforme tabela constante do Termo de Referência, facultando-se ao licitante a participação em quantos itens forem de seu interesse. </w:t>
      </w:r>
    </w:p>
    <w:p w:rsidR="00CA7D8E" w:rsidRPr="007C77ED" w:rsidRDefault="00CA7D8E" w:rsidP="00CA7D8E">
      <w:pPr>
        <w:widowControl w:val="0"/>
        <w:spacing w:after="0" w:line="240" w:lineRule="auto"/>
        <w:jc w:val="both"/>
        <w:rPr>
          <w:rFonts w:ascii="Arial" w:eastAsia="Times New Roman" w:hAnsi="Arial" w:cs="Arial"/>
          <w:color w:val="FF0000"/>
          <w:sz w:val="20"/>
          <w:szCs w:val="20"/>
          <w:lang w:eastAsia="pt-BR"/>
        </w:rPr>
      </w:pPr>
    </w:p>
    <w:p w:rsidR="00CA7D8E" w:rsidRPr="007C77ED" w:rsidRDefault="00CA7D8E" w:rsidP="00CA7D8E">
      <w:pPr>
        <w:widowControl w:val="0"/>
        <w:spacing w:after="0" w:line="240" w:lineRule="auto"/>
        <w:jc w:val="both"/>
        <w:rPr>
          <w:rFonts w:ascii="Arial" w:eastAsia="Times New Roman" w:hAnsi="Arial" w:cs="Arial"/>
          <w:color w:val="FF0000"/>
          <w:sz w:val="20"/>
          <w:szCs w:val="20"/>
          <w:lang w:eastAsia="pt-BR"/>
        </w:rPr>
      </w:pPr>
      <w:r w:rsidRPr="007C77ED">
        <w:rPr>
          <w:rFonts w:ascii="Arial" w:eastAsia="Times New Roman" w:hAnsi="Arial" w:cs="Arial"/>
          <w:b/>
          <w:color w:val="FF0000"/>
          <w:sz w:val="20"/>
          <w:szCs w:val="20"/>
          <w:lang w:eastAsia="pt-BR"/>
        </w:rPr>
        <w:t>5.2.</w:t>
      </w:r>
      <w:r w:rsidRPr="007C77ED">
        <w:rPr>
          <w:rFonts w:ascii="Arial" w:eastAsia="Times New Roman" w:hAnsi="Arial" w:cs="Arial"/>
          <w:color w:val="FF0000"/>
          <w:sz w:val="20"/>
          <w:szCs w:val="20"/>
          <w:lang w:eastAsia="pt-BR"/>
        </w:rPr>
        <w:t xml:space="preserve"> O critério de julgamento adotado será o menor preço do item.</w:t>
      </w:r>
    </w:p>
    <w:p w:rsidR="00CA7D8E" w:rsidRPr="007C77ED" w:rsidRDefault="00CA7D8E" w:rsidP="00CA7D8E">
      <w:pPr>
        <w:widowControl w:val="0"/>
        <w:spacing w:after="0" w:line="240" w:lineRule="auto"/>
        <w:jc w:val="both"/>
        <w:rPr>
          <w:rFonts w:ascii="Arial" w:eastAsia="Times New Roman" w:hAnsi="Arial" w:cs="Arial"/>
          <w:color w:val="FF0000"/>
          <w:sz w:val="20"/>
          <w:szCs w:val="20"/>
          <w:lang w:eastAsia="pt-BR"/>
        </w:rPr>
      </w:pPr>
    </w:p>
    <w:p w:rsidR="00CA7D8E" w:rsidRPr="007C77ED" w:rsidRDefault="00CA7D8E" w:rsidP="00CA7D8E">
      <w:pPr>
        <w:widowControl w:val="0"/>
        <w:spacing w:after="0" w:line="240" w:lineRule="auto"/>
        <w:jc w:val="both"/>
        <w:rPr>
          <w:rFonts w:ascii="Arial" w:eastAsia="Times New Roman" w:hAnsi="Arial" w:cs="Arial"/>
          <w:b/>
          <w:color w:val="FF0000"/>
          <w:sz w:val="20"/>
          <w:szCs w:val="20"/>
          <w:lang w:eastAsia="pt-BR"/>
        </w:rPr>
      </w:pPr>
      <w:r w:rsidRPr="007C77ED">
        <w:rPr>
          <w:rFonts w:ascii="Arial" w:eastAsia="Times New Roman" w:hAnsi="Arial" w:cs="Arial"/>
          <w:b/>
          <w:color w:val="FF0000"/>
          <w:sz w:val="20"/>
          <w:szCs w:val="20"/>
          <w:highlight w:val="yellow"/>
          <w:lang w:eastAsia="pt-BR"/>
        </w:rPr>
        <w:t>OU</w:t>
      </w:r>
    </w:p>
    <w:p w:rsidR="00CA7D8E" w:rsidRPr="007C77ED" w:rsidRDefault="00CA7D8E" w:rsidP="00CA7D8E">
      <w:pPr>
        <w:widowControl w:val="0"/>
        <w:spacing w:after="0" w:line="240" w:lineRule="auto"/>
        <w:jc w:val="both"/>
        <w:rPr>
          <w:rFonts w:ascii="Arial" w:eastAsia="Times New Roman" w:hAnsi="Arial" w:cs="Arial"/>
          <w:color w:val="FF0000"/>
          <w:sz w:val="20"/>
          <w:szCs w:val="20"/>
          <w:lang w:eastAsia="pt-BR"/>
        </w:rPr>
      </w:pPr>
    </w:p>
    <w:p w:rsidR="00CA7D8E" w:rsidRPr="007C77ED" w:rsidRDefault="00CA7D8E" w:rsidP="00CA7D8E">
      <w:pPr>
        <w:widowControl w:val="0"/>
        <w:spacing w:after="0" w:line="240" w:lineRule="auto"/>
        <w:jc w:val="both"/>
        <w:rPr>
          <w:rFonts w:ascii="Arial" w:eastAsia="Times New Roman" w:hAnsi="Arial" w:cs="Arial"/>
          <w:color w:val="FF0000"/>
          <w:sz w:val="20"/>
          <w:szCs w:val="20"/>
          <w:lang w:eastAsia="pt-BR"/>
        </w:rPr>
      </w:pPr>
      <w:r w:rsidRPr="007C77ED">
        <w:rPr>
          <w:rFonts w:ascii="Arial" w:eastAsia="Times New Roman" w:hAnsi="Arial" w:cs="Arial"/>
          <w:b/>
          <w:color w:val="FF0000"/>
          <w:sz w:val="20"/>
          <w:szCs w:val="20"/>
          <w:lang w:eastAsia="pt-BR"/>
        </w:rPr>
        <w:t>5.1.</w:t>
      </w:r>
      <w:r w:rsidRPr="007C77ED">
        <w:rPr>
          <w:rFonts w:ascii="Arial" w:eastAsia="Times New Roman" w:hAnsi="Arial" w:cs="Arial"/>
          <w:color w:val="FF0000"/>
          <w:sz w:val="20"/>
          <w:szCs w:val="20"/>
          <w:lang w:eastAsia="pt-BR"/>
        </w:rPr>
        <w:t xml:space="preserve"> A licitação será realizada em único item.</w:t>
      </w:r>
    </w:p>
    <w:p w:rsidR="00CA7D8E" w:rsidRPr="007C77ED" w:rsidRDefault="00CA7D8E" w:rsidP="00CA7D8E">
      <w:pPr>
        <w:widowControl w:val="0"/>
        <w:spacing w:after="0" w:line="240" w:lineRule="auto"/>
        <w:jc w:val="both"/>
        <w:rPr>
          <w:rFonts w:ascii="Arial" w:eastAsia="Times New Roman" w:hAnsi="Arial" w:cs="Arial"/>
          <w:color w:val="FF0000"/>
          <w:sz w:val="20"/>
          <w:szCs w:val="20"/>
          <w:lang w:eastAsia="pt-BR"/>
        </w:rPr>
      </w:pPr>
    </w:p>
    <w:p w:rsidR="00CA7D8E" w:rsidRPr="007C77ED" w:rsidRDefault="00CA7D8E" w:rsidP="00CA7D8E">
      <w:pPr>
        <w:widowControl w:val="0"/>
        <w:spacing w:after="0" w:line="240" w:lineRule="auto"/>
        <w:jc w:val="both"/>
        <w:rPr>
          <w:rFonts w:ascii="Arial" w:eastAsia="Times New Roman" w:hAnsi="Arial" w:cs="Arial"/>
          <w:color w:val="FF0000"/>
          <w:sz w:val="20"/>
          <w:szCs w:val="20"/>
          <w:lang w:eastAsia="pt-BR"/>
        </w:rPr>
      </w:pPr>
      <w:r w:rsidRPr="007C77ED">
        <w:rPr>
          <w:rFonts w:ascii="Arial" w:eastAsia="Times New Roman" w:hAnsi="Arial" w:cs="Arial"/>
          <w:b/>
          <w:color w:val="FF0000"/>
          <w:sz w:val="20"/>
          <w:szCs w:val="20"/>
          <w:lang w:eastAsia="pt-BR"/>
        </w:rPr>
        <w:t>5.2.</w:t>
      </w:r>
      <w:r w:rsidRPr="007C77ED">
        <w:rPr>
          <w:rFonts w:ascii="Arial" w:eastAsia="Times New Roman" w:hAnsi="Arial" w:cs="Arial"/>
          <w:color w:val="FF0000"/>
          <w:sz w:val="20"/>
          <w:szCs w:val="20"/>
          <w:lang w:eastAsia="pt-BR"/>
        </w:rPr>
        <w:t xml:space="preserve"> O critério de julgamento adotado será o menor preço do item, observadas as exigências contidas neste Edital e seus Anexos quanto às especificações do objeto.</w:t>
      </w:r>
    </w:p>
    <w:p w:rsidR="00CA7D8E" w:rsidRPr="007C77ED" w:rsidRDefault="00CA7D8E" w:rsidP="00CA7D8E">
      <w:pPr>
        <w:spacing w:after="0" w:line="240" w:lineRule="auto"/>
        <w:jc w:val="both"/>
        <w:rPr>
          <w:rFonts w:ascii="Arial" w:hAnsi="Arial" w:cs="Arial"/>
          <w:color w:val="000000"/>
          <w:sz w:val="20"/>
          <w:szCs w:val="20"/>
        </w:rPr>
      </w:pPr>
    </w:p>
    <w:p w:rsidR="00CA7D8E" w:rsidRPr="007C77ED" w:rsidRDefault="00CA7D8E" w:rsidP="00CA7D8E">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b/>
          <w:sz w:val="20"/>
          <w:szCs w:val="20"/>
        </w:rPr>
      </w:pPr>
      <w:r w:rsidRPr="007C77ED">
        <w:rPr>
          <w:rFonts w:ascii="Arial" w:hAnsi="Arial" w:cs="Arial"/>
          <w:b/>
          <w:sz w:val="20"/>
          <w:szCs w:val="20"/>
        </w:rPr>
        <w:t>Orientações práticas:</w:t>
      </w:r>
    </w:p>
    <w:p w:rsidR="00CA7D8E" w:rsidRPr="007C77ED" w:rsidRDefault="00CA7D8E" w:rsidP="00CA7D8E">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sz w:val="20"/>
          <w:szCs w:val="20"/>
        </w:rPr>
        <w:t>Segundo reza o art. 7º do Decreto n. 15.327/2019, os critérios de julgamento empregados na seleção da proposta mais vantajosa para a Administração serão os de menor preço ou de maior desconto, conforme dispuser o edital. Já o § 4º do art. 20 do Decreto n. 15.454/20 estabelece que “</w:t>
      </w:r>
      <w:r w:rsidRPr="007C77ED">
        <w:rPr>
          <w:rFonts w:ascii="Arial" w:hAnsi="Arial" w:cs="Arial"/>
          <w:i/>
          <w:sz w:val="20"/>
          <w:szCs w:val="20"/>
        </w:rPr>
        <w:t>O edital poderá admitir, como critério para julgamento, o menor preço auferido pela oferta de desconto ou acréscimo sobre tabela de preços praticados no mercado, desde que tecnicamente justificado</w:t>
      </w:r>
      <w:r w:rsidRPr="007C77ED">
        <w:rPr>
          <w:rFonts w:ascii="Arial" w:hAnsi="Arial" w:cs="Arial"/>
          <w:sz w:val="20"/>
          <w:szCs w:val="20"/>
        </w:rPr>
        <w:t>”.</w:t>
      </w:r>
    </w:p>
    <w:p w:rsidR="00CA7D8E" w:rsidRPr="007C77ED" w:rsidRDefault="00CA7D8E" w:rsidP="00CA7D8E">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sz w:val="20"/>
          <w:szCs w:val="20"/>
        </w:rPr>
        <w:t>Além disso, a depender da formatação escolhida no Estudo Técnico Preliminar, é possível ocorrer o agrupamento de itens em lotes.</w:t>
      </w:r>
    </w:p>
    <w:p w:rsidR="00CA7D8E" w:rsidRPr="007C77ED" w:rsidRDefault="00CA7D8E" w:rsidP="00CA7D8E">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sz w:val="20"/>
          <w:szCs w:val="20"/>
        </w:rPr>
        <w:t>Em que pese a existência dessas diferentes soluções, para as aquisições de medicamento, via de regra, adota-se o critério “menor preço” sem agrupamento em lotes, estando a minuta padronizada nesta formatação.</w:t>
      </w:r>
    </w:p>
    <w:p w:rsidR="00CA7D8E" w:rsidRPr="007C77ED" w:rsidRDefault="00CA7D8E" w:rsidP="00CA7D8E">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sz w:val="20"/>
          <w:szCs w:val="20"/>
        </w:rPr>
        <w:t>Caso a equipe de planejamento entenda necessária a adoção de uma solução diferente (optando pelo agrupamento, por exemplo), deverá promover as alterações cabíveis no TR e Edital e submeter à análise do órgão jurídico competente.</w:t>
      </w:r>
    </w:p>
    <w:p w:rsidR="00CA7D8E" w:rsidRPr="007C77ED" w:rsidRDefault="00CA7D8E" w:rsidP="00CA7D8E">
      <w:pPr>
        <w:spacing w:before="100" w:beforeAutospacing="1" w:after="100" w:afterAutospacing="1" w:line="240" w:lineRule="auto"/>
        <w:jc w:val="both"/>
        <w:rPr>
          <w:rFonts w:ascii="Arial" w:eastAsia="Times New Roman" w:hAnsi="Arial" w:cs="Arial"/>
          <w:sz w:val="20"/>
          <w:szCs w:val="20"/>
          <w:lang w:eastAsia="pt-BR"/>
        </w:rPr>
      </w:pPr>
      <w:r w:rsidRPr="007C77ED">
        <w:rPr>
          <w:rFonts w:ascii="Arial" w:eastAsia="Times New Roman" w:hAnsi="Arial" w:cs="Arial"/>
          <w:b/>
          <w:bCs/>
          <w:sz w:val="20"/>
          <w:szCs w:val="20"/>
          <w:lang w:eastAsia="pt-BR"/>
        </w:rPr>
        <w:t>5.3</w:t>
      </w:r>
      <w:r w:rsidRPr="007C77ED">
        <w:rPr>
          <w:rFonts w:ascii="Arial" w:eastAsia="Times New Roman" w:hAnsi="Arial" w:cs="Arial"/>
          <w:sz w:val="20"/>
          <w:szCs w:val="20"/>
          <w:lang w:eastAsia="pt-BR"/>
        </w:rPr>
        <w:t xml:space="preserve">. Não serão admitidas propostas acima dos limites do Preço de Fábrica (PF) ou, em caso de aplicação do Coeficiente de Adequação de Preços – CAP (medicamentos dos itens: </w:t>
      </w:r>
      <w:r w:rsidRPr="007C77ED">
        <w:rPr>
          <w:rFonts w:ascii="Arial" w:eastAsia="Times New Roman" w:hAnsi="Arial" w:cs="Arial"/>
          <w:color w:val="FF0000"/>
          <w:sz w:val="20"/>
          <w:szCs w:val="20"/>
          <w:highlight w:val="yellow"/>
          <w:lang w:eastAsia="pt-BR"/>
        </w:rPr>
        <w:t>XX e XX</w:t>
      </w:r>
      <w:r w:rsidRPr="007C77ED">
        <w:rPr>
          <w:rFonts w:ascii="Arial" w:eastAsia="Times New Roman" w:hAnsi="Arial" w:cs="Arial"/>
          <w:sz w:val="20"/>
          <w:szCs w:val="20"/>
          <w:lang w:eastAsia="pt-BR"/>
        </w:rPr>
        <w:t xml:space="preserve">), do Preço Máximo de Venda ao Governo (PMVG), definidos pela Câmara de Regulação do Mercado de Medicamentos – CMED/ANVISA (Resolução CMED nº 03, de 2 de março de 2011) e vigente na data da apresentação da proposta, </w:t>
      </w:r>
      <w:r w:rsidRPr="007C77ED">
        <w:rPr>
          <w:rFonts w:ascii="Arial" w:eastAsia="Times New Roman" w:hAnsi="Arial" w:cs="Arial"/>
          <w:sz w:val="20"/>
          <w:szCs w:val="20"/>
          <w:u w:val="single"/>
          <w:lang w:eastAsia="pt-BR"/>
        </w:rPr>
        <w:t>sob pena de desclassificação sumária</w:t>
      </w:r>
      <w:r w:rsidRPr="007C77ED">
        <w:rPr>
          <w:rFonts w:ascii="Arial" w:eastAsia="Times New Roman" w:hAnsi="Arial" w:cs="Arial"/>
          <w:sz w:val="20"/>
          <w:szCs w:val="20"/>
          <w:lang w:eastAsia="pt-BR"/>
        </w:rPr>
        <w:t>;</w:t>
      </w:r>
    </w:p>
    <w:p w:rsidR="00CA7D8E" w:rsidRPr="007C77ED" w:rsidRDefault="00CA7D8E" w:rsidP="00CA7D8E">
      <w:pPr>
        <w:spacing w:before="100" w:beforeAutospacing="1" w:after="100" w:afterAutospacing="1" w:line="240" w:lineRule="auto"/>
        <w:jc w:val="both"/>
        <w:rPr>
          <w:rFonts w:ascii="Arial" w:eastAsia="Times New Roman" w:hAnsi="Arial" w:cs="Arial"/>
          <w:sz w:val="20"/>
          <w:szCs w:val="20"/>
          <w:lang w:eastAsia="pt-BR"/>
        </w:rPr>
      </w:pPr>
      <w:r w:rsidRPr="007C77ED">
        <w:rPr>
          <w:rFonts w:ascii="Arial" w:eastAsia="Times New Roman" w:hAnsi="Arial" w:cs="Arial"/>
          <w:b/>
          <w:bCs/>
          <w:sz w:val="20"/>
          <w:szCs w:val="20"/>
          <w:lang w:eastAsia="pt-BR"/>
        </w:rPr>
        <w:t>5.3.1.</w:t>
      </w:r>
      <w:r w:rsidRPr="007C77ED">
        <w:rPr>
          <w:rFonts w:ascii="Arial" w:eastAsia="Times New Roman" w:hAnsi="Arial" w:cs="Arial"/>
          <w:sz w:val="20"/>
          <w:szCs w:val="20"/>
          <w:lang w:eastAsia="pt-BR"/>
        </w:rPr>
        <w:t xml:space="preserve"> No caso de compras por força de decisão judicial, o PMVG vigente na data da apresentação da proposta será utilizado como limite de aceitabilidade de preço, conforme art. 1º, §2º </w:t>
      </w:r>
      <w:proofErr w:type="spellStart"/>
      <w:r w:rsidRPr="007C77ED">
        <w:rPr>
          <w:rFonts w:ascii="Arial" w:eastAsia="Times New Roman" w:hAnsi="Arial" w:cs="Arial"/>
          <w:sz w:val="20"/>
          <w:szCs w:val="20"/>
          <w:lang w:eastAsia="pt-BR"/>
        </w:rPr>
        <w:t>c.c</w:t>
      </w:r>
      <w:proofErr w:type="spellEnd"/>
      <w:r w:rsidRPr="007C77ED">
        <w:rPr>
          <w:rFonts w:ascii="Arial" w:eastAsia="Times New Roman" w:hAnsi="Arial" w:cs="Arial"/>
          <w:sz w:val="20"/>
          <w:szCs w:val="20"/>
          <w:lang w:eastAsia="pt-BR"/>
        </w:rPr>
        <w:t>. art. 2º, V, da Resolução CMED nº 03, de 2 de março de 2011.</w:t>
      </w:r>
    </w:p>
    <w:p w:rsidR="00CA7D8E" w:rsidRPr="007C77ED" w:rsidRDefault="00CA7D8E" w:rsidP="00CA7D8E">
      <w:pPr>
        <w:spacing w:before="100" w:beforeAutospacing="1" w:after="100" w:afterAutospacing="1" w:line="240" w:lineRule="auto"/>
        <w:jc w:val="both"/>
        <w:rPr>
          <w:rFonts w:ascii="Arial" w:hAnsi="Arial" w:cs="Arial"/>
          <w:color w:val="000000" w:themeColor="text1"/>
          <w:sz w:val="20"/>
        </w:rPr>
      </w:pPr>
      <w:r w:rsidRPr="007C77ED">
        <w:rPr>
          <w:rFonts w:ascii="Arial" w:hAnsi="Arial" w:cs="Arial"/>
          <w:b/>
          <w:color w:val="000000" w:themeColor="text1"/>
          <w:sz w:val="20"/>
        </w:rPr>
        <w:lastRenderedPageBreak/>
        <w:t>5.4.</w:t>
      </w:r>
      <w:r w:rsidRPr="007C77ED">
        <w:rPr>
          <w:rFonts w:ascii="Arial" w:hAnsi="Arial" w:cs="Arial"/>
          <w:bCs/>
          <w:color w:val="000000" w:themeColor="text1"/>
          <w:sz w:val="20"/>
        </w:rPr>
        <w:t xml:space="preserve"> Na hipótese de </w:t>
      </w:r>
      <w:r w:rsidRPr="007C77ED">
        <w:rPr>
          <w:rFonts w:ascii="Arial" w:hAnsi="Arial" w:cs="Arial"/>
          <w:b/>
          <w:color w:val="000000" w:themeColor="text1"/>
          <w:sz w:val="20"/>
        </w:rPr>
        <w:t>aquisição de fármacos e medicamentos inseridos no Anexo Único do Convênio CONFAZ ICMS 87/2002</w:t>
      </w:r>
      <w:r w:rsidRPr="007C77ED">
        <w:rPr>
          <w:rFonts w:ascii="Arial" w:hAnsi="Arial" w:cs="Arial"/>
          <w:color w:val="000000" w:themeColor="text1"/>
          <w:sz w:val="20"/>
        </w:rPr>
        <w:t xml:space="preserve">, a </w:t>
      </w:r>
      <w:r w:rsidRPr="007C77ED">
        <w:rPr>
          <w:rFonts w:ascii="Arial" w:hAnsi="Arial" w:cs="Arial"/>
          <w:b/>
          <w:color w:val="000000" w:themeColor="text1"/>
          <w:sz w:val="20"/>
        </w:rPr>
        <w:t>proposta de preço deverá ser apresentada sem o valor do ICMS</w:t>
      </w:r>
      <w:r w:rsidRPr="007C77ED">
        <w:rPr>
          <w:rFonts w:ascii="Arial" w:hAnsi="Arial" w:cs="Arial"/>
          <w:color w:val="000000" w:themeColor="text1"/>
          <w:sz w:val="20"/>
        </w:rPr>
        <w:t xml:space="preserve">, </w:t>
      </w:r>
      <w:r w:rsidRPr="007C77ED">
        <w:rPr>
          <w:rFonts w:ascii="Arial" w:hAnsi="Arial" w:cs="Arial"/>
          <w:b/>
          <w:color w:val="000000" w:themeColor="text1"/>
          <w:sz w:val="20"/>
        </w:rPr>
        <w:t>por todos os licitantes</w:t>
      </w:r>
      <w:r w:rsidRPr="007C77ED">
        <w:rPr>
          <w:rFonts w:ascii="Arial" w:hAnsi="Arial" w:cs="Arial"/>
          <w:color w:val="000000" w:themeColor="text1"/>
          <w:sz w:val="20"/>
        </w:rPr>
        <w:t>, independentemente de possuírem sede ou não no Estado de Mato Grosso do Sul.</w:t>
      </w:r>
    </w:p>
    <w:p w:rsidR="00CA7D8E" w:rsidRPr="007C77ED" w:rsidRDefault="00CA7D8E" w:rsidP="00CA7D8E">
      <w:pPr>
        <w:spacing w:before="100" w:beforeAutospacing="1" w:after="100" w:afterAutospacing="1" w:line="240" w:lineRule="auto"/>
        <w:jc w:val="both"/>
        <w:rPr>
          <w:rFonts w:ascii="Arial" w:hAnsi="Arial" w:cs="Arial"/>
          <w:color w:val="000000" w:themeColor="text1"/>
          <w:sz w:val="20"/>
        </w:rPr>
      </w:pPr>
      <w:r w:rsidRPr="007C77ED">
        <w:rPr>
          <w:rFonts w:ascii="Arial" w:hAnsi="Arial" w:cs="Arial"/>
          <w:b/>
          <w:color w:val="000000" w:themeColor="text1"/>
          <w:sz w:val="20"/>
        </w:rPr>
        <w:t>5.5.</w:t>
      </w:r>
      <w:r w:rsidRPr="007C77ED">
        <w:rPr>
          <w:rFonts w:ascii="Arial" w:hAnsi="Arial" w:cs="Arial"/>
          <w:color w:val="000000" w:themeColor="text1"/>
          <w:sz w:val="20"/>
        </w:rPr>
        <w:t xml:space="preserve"> Na </w:t>
      </w:r>
      <w:r w:rsidRPr="007C77ED">
        <w:rPr>
          <w:rFonts w:ascii="Arial" w:hAnsi="Arial" w:cs="Arial"/>
          <w:bCs/>
          <w:color w:val="000000" w:themeColor="text1"/>
          <w:sz w:val="20"/>
        </w:rPr>
        <w:t xml:space="preserve">hipótese de </w:t>
      </w:r>
      <w:r w:rsidRPr="007C77ED">
        <w:rPr>
          <w:rFonts w:ascii="Arial" w:hAnsi="Arial" w:cs="Arial"/>
          <w:b/>
          <w:color w:val="000000" w:themeColor="text1"/>
          <w:sz w:val="20"/>
        </w:rPr>
        <w:t>aquisição de medicamentos destinados ao tratamento de câncer e relacionados no Anexo Único do Convênio CONFAZ ICMS 162/1994</w:t>
      </w:r>
      <w:r w:rsidRPr="007C77ED">
        <w:rPr>
          <w:rFonts w:ascii="Arial" w:hAnsi="Arial" w:cs="Arial"/>
          <w:color w:val="000000" w:themeColor="text1"/>
          <w:sz w:val="20"/>
        </w:rPr>
        <w:t xml:space="preserve">, cuja </w:t>
      </w:r>
      <w:r w:rsidRPr="007C77ED">
        <w:rPr>
          <w:rFonts w:ascii="Arial" w:hAnsi="Arial" w:cs="Arial"/>
          <w:b/>
          <w:color w:val="000000" w:themeColor="text1"/>
          <w:sz w:val="20"/>
        </w:rPr>
        <w:t>empresa licitante possua sede no Estado de Mato Grosso do Sul</w:t>
      </w:r>
      <w:r w:rsidRPr="007C77ED">
        <w:rPr>
          <w:rFonts w:ascii="Arial" w:hAnsi="Arial" w:cs="Arial"/>
          <w:color w:val="000000" w:themeColor="text1"/>
          <w:sz w:val="20"/>
        </w:rPr>
        <w:t xml:space="preserve">, a </w:t>
      </w:r>
      <w:r w:rsidRPr="007C77ED">
        <w:rPr>
          <w:rFonts w:ascii="Arial" w:hAnsi="Arial" w:cs="Arial"/>
          <w:b/>
          <w:color w:val="000000" w:themeColor="text1"/>
          <w:sz w:val="20"/>
        </w:rPr>
        <w:t>proposta de preço deverá ser apresentada sem o valor do ICMS</w:t>
      </w:r>
      <w:r w:rsidRPr="007C77ED">
        <w:rPr>
          <w:rFonts w:ascii="Arial" w:hAnsi="Arial" w:cs="Arial"/>
          <w:color w:val="000000" w:themeColor="text1"/>
          <w:sz w:val="20"/>
        </w:rPr>
        <w:t>.</w:t>
      </w:r>
    </w:p>
    <w:p w:rsidR="00CA7D8E" w:rsidRPr="007C77ED" w:rsidRDefault="00CA7D8E" w:rsidP="00CA7D8E">
      <w:pPr>
        <w:spacing w:before="100" w:beforeAutospacing="1" w:after="100" w:afterAutospacing="1" w:line="240" w:lineRule="auto"/>
        <w:jc w:val="both"/>
        <w:rPr>
          <w:rFonts w:ascii="Arial" w:hAnsi="Arial" w:cs="Arial"/>
          <w:color w:val="000000" w:themeColor="text1"/>
          <w:sz w:val="20"/>
        </w:rPr>
      </w:pPr>
      <w:r w:rsidRPr="007C77ED">
        <w:rPr>
          <w:rFonts w:ascii="Arial" w:hAnsi="Arial" w:cs="Arial"/>
          <w:b/>
          <w:bCs/>
          <w:color w:val="000000" w:themeColor="text1"/>
          <w:sz w:val="20"/>
        </w:rPr>
        <w:t>5.5.1</w:t>
      </w:r>
      <w:r w:rsidRPr="007C77ED">
        <w:rPr>
          <w:rFonts w:ascii="Arial" w:hAnsi="Arial" w:cs="Arial"/>
          <w:color w:val="000000" w:themeColor="text1"/>
          <w:sz w:val="20"/>
        </w:rPr>
        <w:t xml:space="preserve">. Em se localizando a </w:t>
      </w:r>
      <w:r w:rsidRPr="007C77ED">
        <w:rPr>
          <w:rFonts w:ascii="Arial" w:hAnsi="Arial" w:cs="Arial"/>
          <w:b/>
          <w:bCs/>
          <w:color w:val="000000" w:themeColor="text1"/>
          <w:sz w:val="20"/>
        </w:rPr>
        <w:t>empresa licitante sediada fora do solo sul-mato-grossense e se achando a operação de aquisição isenta de ICMS no Estado de origem em razão de Convênio CONFAZ ICMS n. 162/1994</w:t>
      </w:r>
      <w:r w:rsidRPr="007C77ED">
        <w:rPr>
          <w:rFonts w:ascii="Arial" w:hAnsi="Arial" w:cs="Arial"/>
          <w:color w:val="000000" w:themeColor="text1"/>
          <w:sz w:val="20"/>
        </w:rPr>
        <w:t xml:space="preserve">, considerando o disposto no art. 3º-C, parágrafo único, II, do Anexo XXIV ao RICMS, a </w:t>
      </w:r>
      <w:r w:rsidRPr="007C77ED">
        <w:rPr>
          <w:rFonts w:ascii="Arial" w:hAnsi="Arial" w:cs="Arial"/>
          <w:b/>
          <w:bCs/>
          <w:color w:val="000000" w:themeColor="text1"/>
          <w:sz w:val="20"/>
        </w:rPr>
        <w:t>proposta de preço deverá ser apresentada sem o valor do ICMS</w:t>
      </w:r>
      <w:r w:rsidRPr="007C77ED">
        <w:rPr>
          <w:rFonts w:ascii="Arial" w:hAnsi="Arial" w:cs="Arial"/>
          <w:color w:val="000000" w:themeColor="text1"/>
          <w:sz w:val="20"/>
        </w:rPr>
        <w:t>.</w:t>
      </w:r>
    </w:p>
    <w:p w:rsidR="00CA7D8E" w:rsidRPr="007C77ED" w:rsidRDefault="00CA7D8E" w:rsidP="00CA7D8E">
      <w:pPr>
        <w:spacing w:before="100" w:beforeAutospacing="1" w:after="100" w:afterAutospacing="1" w:line="240" w:lineRule="auto"/>
        <w:jc w:val="both"/>
        <w:rPr>
          <w:rFonts w:ascii="Arial" w:hAnsi="Arial" w:cs="Arial"/>
          <w:color w:val="000000" w:themeColor="text1"/>
          <w:sz w:val="20"/>
        </w:rPr>
      </w:pPr>
      <w:r w:rsidRPr="007C77ED">
        <w:rPr>
          <w:rFonts w:ascii="Arial" w:hAnsi="Arial" w:cs="Arial"/>
          <w:b/>
          <w:bCs/>
          <w:color w:val="000000" w:themeColor="text1"/>
          <w:sz w:val="20"/>
        </w:rPr>
        <w:t>5.6.</w:t>
      </w:r>
      <w:r w:rsidRPr="007C77ED">
        <w:rPr>
          <w:rFonts w:ascii="Arial" w:hAnsi="Arial" w:cs="Arial"/>
          <w:color w:val="000000" w:themeColor="text1"/>
          <w:sz w:val="20"/>
        </w:rPr>
        <w:t xml:space="preserve"> Na hipótese de </w:t>
      </w:r>
      <w:r w:rsidRPr="007C77ED">
        <w:rPr>
          <w:rFonts w:ascii="Arial" w:hAnsi="Arial" w:cs="Arial"/>
          <w:b/>
          <w:bCs/>
          <w:color w:val="000000" w:themeColor="text1"/>
          <w:sz w:val="20"/>
        </w:rPr>
        <w:t>aquisição de medicamentos destinados ao tratamento da AIDS, cujo princípio ativo esteja arrolado na Cláusula Primeira do CONVENIO CONFAZ ICMS n. 140/2001</w:t>
      </w:r>
      <w:r w:rsidRPr="007C77ED">
        <w:rPr>
          <w:rFonts w:ascii="Arial" w:hAnsi="Arial" w:cs="Arial"/>
          <w:color w:val="000000" w:themeColor="text1"/>
          <w:sz w:val="20"/>
        </w:rPr>
        <w:t xml:space="preserve">, a </w:t>
      </w:r>
      <w:r w:rsidRPr="007C77ED">
        <w:rPr>
          <w:rFonts w:ascii="Arial" w:hAnsi="Arial" w:cs="Arial"/>
          <w:b/>
          <w:bCs/>
          <w:color w:val="000000" w:themeColor="text1"/>
          <w:sz w:val="20"/>
        </w:rPr>
        <w:t>proposta de preço deverá ser apresentada sem o valor do ICMS</w:t>
      </w:r>
      <w:r w:rsidRPr="007C77ED">
        <w:rPr>
          <w:rFonts w:ascii="Arial" w:hAnsi="Arial" w:cs="Arial"/>
          <w:color w:val="000000" w:themeColor="text1"/>
          <w:sz w:val="20"/>
        </w:rPr>
        <w:t xml:space="preserve">, </w:t>
      </w:r>
      <w:r w:rsidRPr="007C77ED">
        <w:rPr>
          <w:rFonts w:ascii="Arial" w:hAnsi="Arial" w:cs="Arial"/>
          <w:b/>
          <w:bCs/>
          <w:color w:val="000000" w:themeColor="text1"/>
          <w:sz w:val="20"/>
        </w:rPr>
        <w:t>por todos os licitantes</w:t>
      </w:r>
      <w:r w:rsidRPr="007C77ED">
        <w:rPr>
          <w:rFonts w:ascii="Arial" w:hAnsi="Arial" w:cs="Arial"/>
          <w:color w:val="000000" w:themeColor="text1"/>
          <w:sz w:val="20"/>
        </w:rPr>
        <w:t>, independentemente de possuírem sede ou não no Estado de Mato Grosso do Sul.</w:t>
      </w:r>
    </w:p>
    <w:p w:rsidR="00CA7D8E" w:rsidRPr="007C77ED" w:rsidRDefault="00CA7D8E" w:rsidP="00CA7D8E">
      <w:pPr>
        <w:spacing w:before="100" w:beforeAutospacing="1" w:after="100" w:afterAutospacing="1" w:line="240" w:lineRule="auto"/>
        <w:jc w:val="both"/>
        <w:rPr>
          <w:rFonts w:ascii="Arial" w:hAnsi="Arial" w:cs="Arial"/>
          <w:b/>
          <w:color w:val="000000" w:themeColor="text1"/>
          <w:sz w:val="20"/>
        </w:rPr>
      </w:pPr>
      <w:r w:rsidRPr="007C77ED">
        <w:rPr>
          <w:rFonts w:ascii="Arial" w:hAnsi="Arial" w:cs="Arial"/>
          <w:b/>
          <w:bCs/>
          <w:color w:val="000000" w:themeColor="text1"/>
          <w:sz w:val="20"/>
        </w:rPr>
        <w:t>5.7.</w:t>
      </w:r>
      <w:r w:rsidRPr="007C77ED">
        <w:rPr>
          <w:rFonts w:ascii="Arial" w:hAnsi="Arial" w:cs="Arial"/>
          <w:color w:val="000000" w:themeColor="text1"/>
          <w:sz w:val="20"/>
        </w:rPr>
        <w:t xml:space="preserve"> Na hipótese de </w:t>
      </w:r>
      <w:r w:rsidRPr="007C77ED">
        <w:rPr>
          <w:rFonts w:ascii="Arial" w:hAnsi="Arial" w:cs="Arial"/>
          <w:b/>
          <w:bCs/>
          <w:color w:val="000000" w:themeColor="text1"/>
          <w:sz w:val="20"/>
        </w:rPr>
        <w:t xml:space="preserve">aquisição de medicamentos destinados ao tratamento da Gripe A (H1N1), </w:t>
      </w:r>
      <w:r w:rsidRPr="007C77ED">
        <w:rPr>
          <w:rFonts w:ascii="Arial" w:hAnsi="Arial" w:cs="Arial"/>
          <w:color w:val="000000" w:themeColor="text1"/>
          <w:sz w:val="20"/>
        </w:rPr>
        <w:t xml:space="preserve">a </w:t>
      </w:r>
      <w:r w:rsidRPr="007C77ED">
        <w:rPr>
          <w:rFonts w:ascii="Arial" w:hAnsi="Arial" w:cs="Arial"/>
          <w:b/>
          <w:bCs/>
          <w:color w:val="000000" w:themeColor="text1"/>
          <w:sz w:val="20"/>
        </w:rPr>
        <w:t>proposta de preço deverá ser apresentada sem o valor do ICMS</w:t>
      </w:r>
      <w:r w:rsidRPr="007C77ED">
        <w:rPr>
          <w:rFonts w:ascii="Arial" w:hAnsi="Arial" w:cs="Arial"/>
          <w:color w:val="000000" w:themeColor="text1"/>
          <w:sz w:val="20"/>
        </w:rPr>
        <w:t xml:space="preserve">, </w:t>
      </w:r>
      <w:r w:rsidRPr="007C77ED">
        <w:rPr>
          <w:rFonts w:ascii="Arial" w:hAnsi="Arial" w:cs="Arial"/>
          <w:b/>
          <w:bCs/>
          <w:color w:val="000000" w:themeColor="text1"/>
          <w:sz w:val="20"/>
        </w:rPr>
        <w:t>por todos os licitantes</w:t>
      </w:r>
      <w:r w:rsidRPr="007C77ED">
        <w:rPr>
          <w:rFonts w:ascii="Arial" w:hAnsi="Arial" w:cs="Arial"/>
          <w:color w:val="000000" w:themeColor="text1"/>
          <w:sz w:val="20"/>
        </w:rPr>
        <w:t xml:space="preserve">, </w:t>
      </w:r>
      <w:r w:rsidRPr="007C77ED">
        <w:rPr>
          <w:rFonts w:ascii="Arial" w:hAnsi="Arial" w:cs="Arial"/>
          <w:b/>
          <w:bCs/>
          <w:color w:val="000000" w:themeColor="text1"/>
          <w:sz w:val="20"/>
        </w:rPr>
        <w:t>independentemente de possuírem sede ou não no Estado de Mato Grosso do Sul</w:t>
      </w:r>
      <w:r w:rsidRPr="007C77ED">
        <w:rPr>
          <w:rFonts w:ascii="Arial" w:hAnsi="Arial" w:cs="Arial"/>
          <w:color w:val="000000" w:themeColor="text1"/>
          <w:sz w:val="20"/>
        </w:rPr>
        <w:t>, em atenção ao disposto no Convênio CONFAZ ICMS n. 73/201, incorporado ao ordenamento jurídico do Estado de Mato Grosso do Sul pelo Decreto-legislativo n. 488, de 27 de outubro de 2010.</w:t>
      </w:r>
    </w:p>
    <w:p w:rsidR="00CA7D8E" w:rsidRPr="007C77ED" w:rsidRDefault="00CA7D8E" w:rsidP="00CA7D8E">
      <w:pPr>
        <w:spacing w:before="100" w:beforeAutospacing="1" w:after="100" w:afterAutospacing="1" w:line="240" w:lineRule="auto"/>
        <w:jc w:val="both"/>
        <w:rPr>
          <w:rFonts w:ascii="Arial" w:hAnsi="Arial" w:cs="Arial"/>
          <w:color w:val="000000" w:themeColor="text1"/>
          <w:sz w:val="20"/>
        </w:rPr>
      </w:pPr>
      <w:r w:rsidRPr="007C77ED">
        <w:rPr>
          <w:rFonts w:ascii="Arial" w:hAnsi="Arial" w:cs="Arial"/>
          <w:b/>
          <w:color w:val="000000" w:themeColor="text1"/>
          <w:sz w:val="20"/>
        </w:rPr>
        <w:t>5.8.</w:t>
      </w:r>
      <w:r w:rsidRPr="007C77ED">
        <w:rPr>
          <w:rFonts w:ascii="Arial" w:hAnsi="Arial" w:cs="Arial"/>
          <w:color w:val="000000" w:themeColor="text1"/>
          <w:sz w:val="20"/>
        </w:rPr>
        <w:t xml:space="preserve"> O valor correspondente à isenção do ICMS enumeradas nos subitens 5.4 a 5.7 deverá ser deduzido do preço dos respectivos produtos, devendo o licitante demonstrar a dedução, expressamente, nas </w:t>
      </w:r>
      <w:r w:rsidRPr="007C77ED">
        <w:rPr>
          <w:rFonts w:ascii="Arial" w:eastAsia="Times New Roman" w:hAnsi="Arial" w:cs="Arial"/>
          <w:color w:val="000000" w:themeColor="text1"/>
          <w:sz w:val="20"/>
          <w:szCs w:val="20"/>
          <w:lang w:eastAsia="pt-BR"/>
        </w:rPr>
        <w:t>propostas</w:t>
      </w:r>
      <w:r w:rsidRPr="007C77ED">
        <w:rPr>
          <w:rFonts w:ascii="Arial" w:hAnsi="Arial" w:cs="Arial"/>
          <w:color w:val="000000" w:themeColor="text1"/>
          <w:sz w:val="20"/>
        </w:rPr>
        <w:t xml:space="preserve"> do processo licitatório e nos documentos fiscais.</w:t>
      </w:r>
    </w:p>
    <w:p w:rsidR="00CA7D8E" w:rsidRPr="007C77ED" w:rsidRDefault="00CA7D8E" w:rsidP="00CA7D8E">
      <w:pPr>
        <w:spacing w:before="100" w:beforeAutospacing="1" w:after="100" w:afterAutospacing="1" w:line="240" w:lineRule="auto"/>
        <w:jc w:val="both"/>
        <w:rPr>
          <w:rFonts w:ascii="Arial" w:hAnsi="Arial" w:cs="Arial"/>
          <w:color w:val="000000" w:themeColor="text1"/>
          <w:sz w:val="20"/>
        </w:rPr>
      </w:pPr>
      <w:r w:rsidRPr="007C77ED">
        <w:rPr>
          <w:rFonts w:ascii="Arial" w:hAnsi="Arial" w:cs="Arial"/>
          <w:b/>
          <w:color w:val="000000" w:themeColor="text1"/>
          <w:sz w:val="20"/>
        </w:rPr>
        <w:t>5.9.</w:t>
      </w:r>
      <w:r w:rsidRPr="007C77ED">
        <w:rPr>
          <w:rFonts w:ascii="Arial" w:hAnsi="Arial" w:cs="Arial"/>
          <w:color w:val="000000" w:themeColor="text1"/>
          <w:sz w:val="20"/>
        </w:rPr>
        <w:t xml:space="preserve"> Os medicamentos constantes nos itens </w:t>
      </w:r>
      <w:r w:rsidRPr="007C77ED">
        <w:rPr>
          <w:rFonts w:ascii="Arial" w:hAnsi="Arial" w:cs="Arial"/>
          <w:color w:val="FF0000"/>
          <w:sz w:val="20"/>
          <w:highlight w:val="yellow"/>
        </w:rPr>
        <w:t>XX, XX, e XX</w:t>
      </w:r>
      <w:r w:rsidRPr="007C77ED">
        <w:rPr>
          <w:rFonts w:ascii="Arial" w:hAnsi="Arial" w:cs="Arial"/>
          <w:color w:val="000000" w:themeColor="text1"/>
          <w:sz w:val="20"/>
        </w:rPr>
        <w:t>, deverão ter seus preços isentos de ICMS (0%, 12%, 17%, 17,5%, 18% ou 20%), conforme o caso, observado os subitens 5.4 a 5.7 do presente TR.</w:t>
      </w:r>
    </w:p>
    <w:p w:rsidR="00CA7D8E" w:rsidRPr="007C77ED" w:rsidRDefault="00CA7D8E" w:rsidP="00CA7D8E">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7C77ED">
        <w:rPr>
          <w:rFonts w:ascii="Arial" w:eastAsia="Times New Roman" w:hAnsi="Arial" w:cs="Arial"/>
          <w:b/>
          <w:sz w:val="20"/>
          <w:szCs w:val="20"/>
          <w:lang w:eastAsia="pt-BR"/>
        </w:rPr>
        <w:t>Nota explicativa:</w:t>
      </w:r>
      <w:r w:rsidRPr="007C77ED">
        <w:rPr>
          <w:rFonts w:ascii="Arial" w:eastAsia="Times New Roman" w:hAnsi="Arial" w:cs="Arial"/>
          <w:sz w:val="20"/>
          <w:szCs w:val="20"/>
          <w:lang w:eastAsia="pt-BR"/>
        </w:rPr>
        <w:t xml:space="preserve"> </w:t>
      </w:r>
      <w:r w:rsidRPr="007C77ED">
        <w:rPr>
          <w:rFonts w:ascii="Arial" w:hAnsi="Arial" w:cs="Arial"/>
          <w:color w:val="000000" w:themeColor="text1"/>
          <w:sz w:val="20"/>
        </w:rPr>
        <w:t>na hipótese de a área técnica identificar outra normativa do CONFAZ (Convênio ICMS) concedendo o benefício da isenção, deverá ser inserido aqui o respectivo regramento para dar publicidade e evitar erros quando do julgamento da proposta.</w:t>
      </w:r>
    </w:p>
    <w:p w:rsidR="00CA7D8E" w:rsidRPr="007C77ED" w:rsidRDefault="00CA7D8E" w:rsidP="00CA7D8E">
      <w:pPr>
        <w:spacing w:before="100" w:beforeAutospacing="1" w:after="100" w:afterAutospacing="1" w:line="240" w:lineRule="auto"/>
        <w:jc w:val="both"/>
        <w:rPr>
          <w:rFonts w:ascii="Arial" w:hAnsi="Arial" w:cs="Arial"/>
          <w:color w:val="000000" w:themeColor="text1"/>
          <w:sz w:val="20"/>
        </w:rPr>
      </w:pPr>
      <w:r w:rsidRPr="007C77ED">
        <w:rPr>
          <w:rFonts w:ascii="Arial" w:hAnsi="Arial" w:cs="Arial"/>
          <w:b/>
          <w:color w:val="000000" w:themeColor="text1"/>
          <w:sz w:val="20"/>
        </w:rPr>
        <w:t xml:space="preserve">5.10. </w:t>
      </w:r>
      <w:r w:rsidRPr="007C77ED">
        <w:rPr>
          <w:rFonts w:ascii="Arial" w:hAnsi="Arial" w:cs="Arial"/>
          <w:color w:val="000000" w:themeColor="text1"/>
          <w:sz w:val="20"/>
        </w:rPr>
        <w:t xml:space="preserve">A proposta de preços deverá ser apresentada sem o valor do ICMS devido </w:t>
      </w:r>
      <w:r w:rsidRPr="007C77ED">
        <w:rPr>
          <w:rFonts w:ascii="Arial" w:hAnsi="Arial" w:cs="Arial"/>
          <w:b/>
          <w:bCs/>
          <w:color w:val="000000" w:themeColor="text1"/>
          <w:sz w:val="20"/>
        </w:rPr>
        <w:t>nas operações internas do Estado de Mato Grosso do Sul</w:t>
      </w:r>
      <w:r w:rsidRPr="007C77ED">
        <w:rPr>
          <w:rFonts w:ascii="Arial" w:hAnsi="Arial" w:cs="Arial"/>
          <w:color w:val="000000" w:themeColor="text1"/>
          <w:sz w:val="20"/>
        </w:rPr>
        <w:t>, conforme estabelecido no Decreto Estadual n. 11.403, de 19 de setembro de 2003.</w:t>
      </w:r>
    </w:p>
    <w:p w:rsidR="00CA7D8E" w:rsidRPr="007C77ED" w:rsidRDefault="00CA7D8E" w:rsidP="00CA7D8E">
      <w:pPr>
        <w:spacing w:before="100" w:beforeAutospacing="1" w:after="100" w:afterAutospacing="1" w:line="240" w:lineRule="auto"/>
        <w:jc w:val="both"/>
        <w:rPr>
          <w:rFonts w:ascii="Arial" w:eastAsia="Times New Roman" w:hAnsi="Arial" w:cs="Arial"/>
          <w:b/>
          <w:bCs/>
          <w:color w:val="000000" w:themeColor="text1"/>
          <w:sz w:val="20"/>
          <w:szCs w:val="20"/>
          <w:lang w:eastAsia="pt-BR"/>
        </w:rPr>
      </w:pPr>
      <w:r w:rsidRPr="007C77ED">
        <w:rPr>
          <w:rFonts w:ascii="Arial" w:hAnsi="Arial" w:cs="Arial"/>
          <w:b/>
          <w:bCs/>
          <w:color w:val="000000" w:themeColor="text1"/>
          <w:sz w:val="20"/>
        </w:rPr>
        <w:t>5.10.1.</w:t>
      </w:r>
      <w:r w:rsidRPr="007C77ED">
        <w:rPr>
          <w:rFonts w:ascii="Arial" w:hAnsi="Arial" w:cs="Arial"/>
          <w:color w:val="000000" w:themeColor="text1"/>
          <w:sz w:val="20"/>
        </w:rPr>
        <w:t xml:space="preserve"> Na hipótese do subitem 5.8, o documento fiscal deve ser emitido na forma estabelecida pelo art. 2º, Decreto Estadual n. 11.403, de 19 de setembro de 2003.</w:t>
      </w:r>
    </w:p>
    <w:p w:rsidR="00CA7D8E" w:rsidRPr="007C77ED" w:rsidRDefault="00CA7D8E" w:rsidP="00CA7D8E">
      <w:pPr>
        <w:spacing w:before="100" w:beforeAutospacing="1" w:after="100" w:afterAutospacing="1" w:line="240" w:lineRule="auto"/>
        <w:jc w:val="both"/>
        <w:rPr>
          <w:rFonts w:ascii="Arial" w:eastAsia="Times New Roman" w:hAnsi="Arial" w:cs="Arial"/>
          <w:b/>
          <w:bCs/>
          <w:color w:val="000000" w:themeColor="text1"/>
          <w:sz w:val="20"/>
          <w:szCs w:val="20"/>
          <w:lang w:eastAsia="pt-BR"/>
        </w:rPr>
      </w:pPr>
      <w:r w:rsidRPr="007C77ED">
        <w:rPr>
          <w:rFonts w:ascii="Arial" w:eastAsia="Times New Roman" w:hAnsi="Arial" w:cs="Arial"/>
          <w:b/>
          <w:bCs/>
          <w:color w:val="000000" w:themeColor="text1"/>
          <w:sz w:val="20"/>
          <w:szCs w:val="20"/>
          <w:lang w:eastAsia="pt-BR"/>
        </w:rPr>
        <w:t>5.11.</w:t>
      </w:r>
      <w:r w:rsidRPr="007C77ED">
        <w:rPr>
          <w:rFonts w:ascii="Arial" w:eastAsia="Times New Roman" w:hAnsi="Arial" w:cs="Arial"/>
          <w:color w:val="000000" w:themeColor="text1"/>
          <w:sz w:val="20"/>
          <w:szCs w:val="20"/>
          <w:lang w:eastAsia="pt-BR"/>
        </w:rPr>
        <w:t xml:space="preserve"> No julgamento das propostas, o medicamento genérico, quando houver, terá preferência sobre os demais em condições de igualdade de preço, nos termos do art. 3º, § 2º, da Lei nº 9.787, de 10 de fevereiro de 1999.</w:t>
      </w:r>
      <w:r w:rsidRPr="007C77ED">
        <w:rPr>
          <w:rFonts w:ascii="Arial" w:eastAsia="Times New Roman" w:hAnsi="Arial" w:cs="Arial"/>
          <w:b/>
          <w:bCs/>
          <w:color w:val="000000" w:themeColor="text1"/>
          <w:sz w:val="20"/>
          <w:szCs w:val="20"/>
          <w:lang w:eastAsia="pt-BR"/>
        </w:rPr>
        <w:t xml:space="preserve"> </w:t>
      </w:r>
    </w:p>
    <w:p w:rsidR="00CA7D8E" w:rsidRPr="007C77ED" w:rsidRDefault="00CA7D8E" w:rsidP="00CA7D8E">
      <w:pPr>
        <w:spacing w:after="0" w:line="240" w:lineRule="auto"/>
        <w:jc w:val="both"/>
        <w:rPr>
          <w:rFonts w:ascii="Arial" w:hAnsi="Arial" w:cs="Arial"/>
          <w:b/>
          <w:color w:val="000000"/>
          <w:sz w:val="20"/>
          <w:szCs w:val="20"/>
        </w:rPr>
      </w:pPr>
      <w:r w:rsidRPr="007C77ED">
        <w:rPr>
          <w:rFonts w:ascii="Arial" w:hAnsi="Arial" w:cs="Arial"/>
          <w:b/>
          <w:color w:val="000000"/>
          <w:sz w:val="20"/>
          <w:szCs w:val="20"/>
        </w:rPr>
        <w:t>6. PARCELAMENTO DO OBJETO</w:t>
      </w:r>
    </w:p>
    <w:p w:rsidR="00CA7D8E" w:rsidRPr="007C77ED" w:rsidRDefault="00CA7D8E" w:rsidP="00CA7D8E">
      <w:pPr>
        <w:spacing w:after="0" w:line="240" w:lineRule="auto"/>
        <w:jc w:val="both"/>
        <w:rPr>
          <w:rFonts w:ascii="Arial" w:hAnsi="Arial" w:cs="Arial"/>
          <w:b/>
          <w:color w:val="FF0000"/>
          <w:sz w:val="20"/>
          <w:szCs w:val="20"/>
        </w:rPr>
      </w:pPr>
    </w:p>
    <w:p w:rsidR="00CA7D8E" w:rsidRPr="007C77ED" w:rsidRDefault="00CA7D8E" w:rsidP="00CA7D8E">
      <w:pPr>
        <w:spacing w:after="0" w:line="240" w:lineRule="auto"/>
        <w:jc w:val="both"/>
        <w:rPr>
          <w:rFonts w:ascii="Arial" w:hAnsi="Arial" w:cs="Arial"/>
          <w:bCs/>
          <w:color w:val="000000" w:themeColor="text1"/>
          <w:sz w:val="20"/>
          <w:szCs w:val="20"/>
        </w:rPr>
      </w:pPr>
      <w:r w:rsidRPr="007C77ED">
        <w:rPr>
          <w:rFonts w:ascii="Arial" w:hAnsi="Arial" w:cs="Arial"/>
          <w:b/>
          <w:color w:val="000000" w:themeColor="text1"/>
          <w:sz w:val="20"/>
          <w:szCs w:val="20"/>
        </w:rPr>
        <w:t xml:space="preserve">6.1. </w:t>
      </w:r>
      <w:r w:rsidRPr="007C77ED">
        <w:rPr>
          <w:rFonts w:ascii="Arial" w:hAnsi="Arial" w:cs="Arial"/>
          <w:bCs/>
          <w:color w:val="000000" w:themeColor="text1"/>
          <w:sz w:val="20"/>
          <w:szCs w:val="20"/>
        </w:rPr>
        <w:t>Haverá o parcelamento do objeto tendo em conta a viabilidade de sua divisão em itens, o melhor aproveitamento das peculiaridades do mercado e com vistas à ampliação da competitividade, de modo que a presente licitação será adjudicada por itens.</w:t>
      </w:r>
    </w:p>
    <w:p w:rsidR="00CA7D8E" w:rsidRPr="007C77ED" w:rsidRDefault="00CA7D8E" w:rsidP="00CA7D8E">
      <w:pPr>
        <w:spacing w:after="0" w:line="240" w:lineRule="auto"/>
        <w:jc w:val="both"/>
        <w:rPr>
          <w:rFonts w:ascii="Arial" w:eastAsia="Times New Roman" w:hAnsi="Arial" w:cs="Arial"/>
          <w:b/>
          <w:color w:val="FF0000"/>
          <w:sz w:val="20"/>
          <w:szCs w:val="20"/>
          <w:highlight w:val="yellow"/>
          <w:u w:val="single"/>
          <w:lang w:eastAsia="pt-BR"/>
        </w:rPr>
      </w:pPr>
    </w:p>
    <w:p w:rsidR="00CA7D8E" w:rsidRPr="007C77ED" w:rsidRDefault="00CA7D8E" w:rsidP="00CA7D8E">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b/>
          <w:sz w:val="20"/>
          <w:szCs w:val="20"/>
        </w:rPr>
      </w:pPr>
      <w:r w:rsidRPr="007C77ED">
        <w:rPr>
          <w:rFonts w:ascii="Arial" w:hAnsi="Arial" w:cs="Arial"/>
          <w:b/>
          <w:sz w:val="20"/>
          <w:szCs w:val="20"/>
        </w:rPr>
        <w:t>Orientações práticas:</w:t>
      </w:r>
    </w:p>
    <w:p w:rsidR="00CA7D8E" w:rsidRPr="007C77ED" w:rsidRDefault="00CA7D8E" w:rsidP="00CA7D8E">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sz w:val="20"/>
          <w:szCs w:val="20"/>
        </w:rPr>
        <w:lastRenderedPageBreak/>
        <w:t xml:space="preserve">O art. 5º, VII do Decreto </w:t>
      </w:r>
      <w:proofErr w:type="gramStart"/>
      <w:r w:rsidRPr="007C77ED">
        <w:rPr>
          <w:rFonts w:ascii="Arial" w:hAnsi="Arial" w:cs="Arial"/>
          <w:sz w:val="20"/>
          <w:szCs w:val="20"/>
        </w:rPr>
        <w:t>n.º</w:t>
      </w:r>
      <w:proofErr w:type="gramEnd"/>
      <w:r w:rsidRPr="007C77ED">
        <w:rPr>
          <w:rFonts w:ascii="Arial" w:hAnsi="Arial" w:cs="Arial"/>
          <w:sz w:val="20"/>
          <w:szCs w:val="20"/>
        </w:rPr>
        <w:t xml:space="preserve"> 15.524/2020 estabeleceu como elemento obrigatório do ETP a justificativa para o parcelamento ou não da solução e fixou diretrizes para orientarem a decisão no art. 6º, V, “b” e §§ 1º e 2º.</w:t>
      </w:r>
    </w:p>
    <w:p w:rsidR="00CA7D8E" w:rsidRPr="007C77ED" w:rsidRDefault="00CA7D8E" w:rsidP="00CA7D8E">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sz w:val="20"/>
          <w:szCs w:val="20"/>
        </w:rPr>
        <w:t xml:space="preserve">Conforme esclarecido anteriormente, esta minuta foi desenvolvida para aquisições de medicamentos cujo critério de julgamento será o menor preço por item, isto é, optando pelo parcelamento do objeto. </w:t>
      </w:r>
    </w:p>
    <w:p w:rsidR="00CA7D8E" w:rsidRPr="007C77ED" w:rsidRDefault="00CA7D8E" w:rsidP="00CA7D8E">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sz w:val="20"/>
          <w:szCs w:val="20"/>
        </w:rPr>
        <w:t>Por este motivo, o subitem 6.1 encontra-se na cor preta, não estando sujeita à alteração.</w:t>
      </w:r>
    </w:p>
    <w:p w:rsidR="00CA7D8E" w:rsidRPr="007C77ED" w:rsidRDefault="00CA7D8E" w:rsidP="00CA7D8E">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sz w:val="20"/>
          <w:szCs w:val="20"/>
        </w:rPr>
        <w:t>Porém, caso a equipe de planejamento entenda necessária a adoção de uma solução diferente (optando pelo agrupamento), deverá apresentar as justificativas cabíveis nesse tópico (extraídos do ETP, se existente), promover as alterações no TR e Edital e submeter à análise do órgão jurídico competente.</w:t>
      </w:r>
    </w:p>
    <w:p w:rsidR="00CA7D8E" w:rsidRPr="007C77ED" w:rsidRDefault="00CA7D8E" w:rsidP="00CA7D8E">
      <w:pPr>
        <w:spacing w:after="0" w:line="240" w:lineRule="auto"/>
        <w:jc w:val="both"/>
        <w:rPr>
          <w:rFonts w:ascii="Arial" w:eastAsia="Times New Roman" w:hAnsi="Arial" w:cs="Arial"/>
          <w:sz w:val="20"/>
          <w:szCs w:val="20"/>
          <w:lang w:eastAsia="pt-BR"/>
        </w:rPr>
      </w:pPr>
    </w:p>
    <w:p w:rsidR="00CA7D8E" w:rsidRPr="007C77ED" w:rsidRDefault="00CA7D8E" w:rsidP="00CA7D8E">
      <w:pPr>
        <w:spacing w:after="0" w:line="240" w:lineRule="auto"/>
        <w:jc w:val="both"/>
        <w:rPr>
          <w:rFonts w:ascii="Arial" w:hAnsi="Arial" w:cs="Arial"/>
          <w:b/>
          <w:sz w:val="20"/>
          <w:szCs w:val="20"/>
        </w:rPr>
      </w:pPr>
      <w:r w:rsidRPr="007C77ED">
        <w:rPr>
          <w:rFonts w:ascii="Arial" w:hAnsi="Arial" w:cs="Arial"/>
          <w:b/>
          <w:sz w:val="20"/>
          <w:szCs w:val="20"/>
        </w:rPr>
        <w:t>6.2. Consórcio</w:t>
      </w:r>
    </w:p>
    <w:p w:rsidR="00CA7D8E" w:rsidRPr="007C77ED" w:rsidRDefault="00CA7D8E" w:rsidP="00CA7D8E">
      <w:pPr>
        <w:spacing w:after="0" w:line="240" w:lineRule="auto"/>
        <w:jc w:val="both"/>
        <w:rPr>
          <w:rFonts w:ascii="Arial" w:hAnsi="Arial" w:cs="Arial"/>
          <w:b/>
          <w:sz w:val="20"/>
          <w:szCs w:val="20"/>
        </w:rPr>
      </w:pPr>
    </w:p>
    <w:p w:rsidR="00CA7D8E" w:rsidRPr="007C77ED" w:rsidRDefault="00CA7D8E" w:rsidP="00CA7D8E">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7C77ED">
        <w:rPr>
          <w:rFonts w:ascii="Arial" w:eastAsia="Times New Roman" w:hAnsi="Arial" w:cs="Arial"/>
          <w:b/>
          <w:sz w:val="20"/>
          <w:szCs w:val="20"/>
          <w:lang w:eastAsia="pt-BR"/>
        </w:rPr>
        <w:t>Nota explicativa:</w:t>
      </w:r>
      <w:r w:rsidRPr="007C77ED">
        <w:rPr>
          <w:rFonts w:ascii="Arial" w:eastAsia="Times New Roman" w:hAnsi="Arial" w:cs="Arial"/>
          <w:sz w:val="20"/>
          <w:szCs w:val="20"/>
          <w:lang w:eastAsia="pt-BR"/>
        </w:rPr>
        <w:t xml:space="preserve"> Caso a equipe de planejamento não permita a participação de empresas em consórcio, poderá adotar a primeira redação sugestiva abaixo. No entanto, caso identifique que a permissão à participação de empresas reunidas em consórcio valorizará a competição, deverá motivar sua decisão nos autos do processo.</w:t>
      </w:r>
    </w:p>
    <w:p w:rsidR="00CA7D8E" w:rsidRPr="007C77ED" w:rsidRDefault="00CA7D8E" w:rsidP="00CA7D8E">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7C77ED">
        <w:rPr>
          <w:rFonts w:ascii="Arial" w:eastAsia="Times New Roman" w:hAnsi="Arial" w:cs="Arial"/>
          <w:sz w:val="20"/>
          <w:szCs w:val="20"/>
          <w:lang w:eastAsia="pt-BR"/>
        </w:rPr>
        <w:t>A escolha ficará a cargo da equipe de planejamento.</w:t>
      </w:r>
    </w:p>
    <w:p w:rsidR="00CA7D8E" w:rsidRPr="007C77ED" w:rsidRDefault="00CA7D8E" w:rsidP="00CA7D8E">
      <w:pPr>
        <w:spacing w:after="0" w:line="240" w:lineRule="auto"/>
        <w:jc w:val="both"/>
        <w:rPr>
          <w:rFonts w:ascii="Arial" w:hAnsi="Arial" w:cs="Arial"/>
          <w:b/>
          <w:sz w:val="20"/>
          <w:szCs w:val="20"/>
        </w:rPr>
      </w:pPr>
    </w:p>
    <w:p w:rsidR="00CA7D8E" w:rsidRPr="007C77ED" w:rsidRDefault="00CA7D8E" w:rsidP="00CA7D8E">
      <w:pPr>
        <w:spacing w:after="0" w:line="240" w:lineRule="auto"/>
        <w:jc w:val="both"/>
        <w:rPr>
          <w:rFonts w:ascii="Arial" w:eastAsia="Times New Roman" w:hAnsi="Arial" w:cs="Arial"/>
          <w:color w:val="FF0000"/>
          <w:sz w:val="20"/>
          <w:szCs w:val="20"/>
          <w:lang w:eastAsia="pt-BR"/>
        </w:rPr>
      </w:pPr>
      <w:r w:rsidRPr="007C77ED">
        <w:rPr>
          <w:rFonts w:ascii="Arial" w:hAnsi="Arial" w:cs="Arial"/>
          <w:b/>
          <w:sz w:val="20"/>
          <w:szCs w:val="20"/>
        </w:rPr>
        <w:t xml:space="preserve">6.2.1. </w:t>
      </w:r>
      <w:r w:rsidRPr="007C77ED">
        <w:rPr>
          <w:rFonts w:ascii="Arial" w:eastAsia="Times New Roman" w:hAnsi="Arial" w:cs="Arial"/>
          <w:color w:val="FF0000"/>
          <w:sz w:val="20"/>
          <w:szCs w:val="20"/>
          <w:lang w:eastAsia="pt-BR"/>
        </w:rPr>
        <w:t>Não será permitida a participação de empresas reunidas em consórcio, devido à baixa complexidade do objeto a ser adquirido, somando-se ao fato de não se cuidar de contratação de grande vulto.</w:t>
      </w:r>
    </w:p>
    <w:p w:rsidR="00CA7D8E" w:rsidRPr="007C77ED" w:rsidRDefault="00CA7D8E" w:rsidP="00CA7D8E">
      <w:pPr>
        <w:spacing w:after="0" w:line="240" w:lineRule="auto"/>
        <w:jc w:val="both"/>
        <w:rPr>
          <w:rFonts w:ascii="Arial" w:eastAsia="Times New Roman" w:hAnsi="Arial" w:cs="Arial"/>
          <w:color w:val="FF0000"/>
          <w:sz w:val="20"/>
          <w:szCs w:val="20"/>
          <w:lang w:eastAsia="pt-BR"/>
        </w:rPr>
      </w:pPr>
    </w:p>
    <w:p w:rsidR="00CA7D8E" w:rsidRPr="007C77ED" w:rsidRDefault="00CA7D8E" w:rsidP="00CA7D8E">
      <w:pPr>
        <w:spacing w:after="0" w:line="240" w:lineRule="auto"/>
        <w:jc w:val="both"/>
        <w:rPr>
          <w:rFonts w:ascii="Arial" w:eastAsia="Times New Roman" w:hAnsi="Arial" w:cs="Arial"/>
          <w:b/>
          <w:color w:val="FF0000"/>
          <w:sz w:val="20"/>
          <w:szCs w:val="20"/>
          <w:lang w:eastAsia="pt-BR"/>
        </w:rPr>
      </w:pPr>
      <w:r w:rsidRPr="007C77ED">
        <w:rPr>
          <w:rFonts w:ascii="Arial" w:eastAsia="Times New Roman" w:hAnsi="Arial" w:cs="Arial"/>
          <w:b/>
          <w:color w:val="FF0000"/>
          <w:sz w:val="20"/>
          <w:szCs w:val="20"/>
          <w:highlight w:val="yellow"/>
          <w:lang w:eastAsia="pt-BR"/>
        </w:rPr>
        <w:t>OU</w:t>
      </w:r>
    </w:p>
    <w:p w:rsidR="00CA7D8E" w:rsidRPr="007C77ED" w:rsidRDefault="00CA7D8E" w:rsidP="00CA7D8E">
      <w:pPr>
        <w:spacing w:after="0" w:line="240" w:lineRule="auto"/>
        <w:jc w:val="both"/>
        <w:rPr>
          <w:rFonts w:ascii="Arial" w:eastAsia="Times New Roman" w:hAnsi="Arial" w:cs="Arial"/>
          <w:b/>
          <w:color w:val="FF0000"/>
          <w:sz w:val="20"/>
          <w:szCs w:val="20"/>
          <w:u w:val="single"/>
          <w:lang w:eastAsia="pt-BR"/>
        </w:rPr>
      </w:pPr>
    </w:p>
    <w:p w:rsidR="00CA7D8E" w:rsidRPr="007C77ED" w:rsidRDefault="00CA7D8E" w:rsidP="00CA7D8E">
      <w:pPr>
        <w:spacing w:after="0" w:line="240" w:lineRule="auto"/>
        <w:jc w:val="both"/>
        <w:rPr>
          <w:rFonts w:ascii="Arial" w:eastAsia="Times New Roman" w:hAnsi="Arial" w:cs="Arial"/>
          <w:color w:val="FF0000"/>
          <w:sz w:val="20"/>
          <w:szCs w:val="20"/>
          <w:lang w:eastAsia="pt-BR"/>
        </w:rPr>
      </w:pPr>
      <w:r w:rsidRPr="007C77ED">
        <w:rPr>
          <w:rFonts w:ascii="Arial" w:eastAsia="Times New Roman" w:hAnsi="Arial" w:cs="Arial"/>
          <w:b/>
          <w:color w:val="000000" w:themeColor="text1"/>
          <w:sz w:val="20"/>
          <w:szCs w:val="20"/>
          <w:lang w:eastAsia="pt-BR"/>
        </w:rPr>
        <w:t>6.2.1.</w:t>
      </w:r>
      <w:r w:rsidRPr="007C77ED">
        <w:rPr>
          <w:rFonts w:ascii="Arial" w:eastAsia="Times New Roman" w:hAnsi="Arial" w:cs="Arial"/>
          <w:sz w:val="20"/>
          <w:szCs w:val="20"/>
          <w:lang w:eastAsia="pt-BR"/>
        </w:rPr>
        <w:t xml:space="preserve"> </w:t>
      </w:r>
      <w:r w:rsidRPr="007C77ED">
        <w:rPr>
          <w:rFonts w:ascii="Arial" w:eastAsia="Times New Roman" w:hAnsi="Arial" w:cs="Arial"/>
          <w:color w:val="FF0000"/>
          <w:sz w:val="20"/>
          <w:szCs w:val="20"/>
          <w:lang w:eastAsia="pt-BR"/>
        </w:rPr>
        <w:t>Para o objeto a ser licitado a permissão de consórcios é a alternativa mais vantajosa pois, (...)</w:t>
      </w:r>
    </w:p>
    <w:p w:rsidR="00CA7D8E" w:rsidRPr="007C77ED" w:rsidRDefault="00CA7D8E" w:rsidP="00CA7D8E">
      <w:pPr>
        <w:spacing w:after="0" w:line="240" w:lineRule="auto"/>
        <w:jc w:val="both"/>
        <w:rPr>
          <w:rFonts w:ascii="Arial" w:eastAsia="Times New Roman" w:hAnsi="Arial" w:cs="Arial"/>
          <w:color w:val="FF0000"/>
          <w:sz w:val="20"/>
          <w:szCs w:val="20"/>
          <w:lang w:eastAsia="pt-BR"/>
        </w:rPr>
      </w:pPr>
    </w:p>
    <w:p w:rsidR="00CA7D8E" w:rsidRPr="007C77ED" w:rsidRDefault="00CA7D8E" w:rsidP="00CA7D8E">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b/>
          <w:sz w:val="20"/>
          <w:szCs w:val="20"/>
        </w:rPr>
      </w:pPr>
      <w:r w:rsidRPr="007C77ED">
        <w:rPr>
          <w:rFonts w:ascii="Arial" w:hAnsi="Arial" w:cs="Arial"/>
          <w:b/>
          <w:sz w:val="20"/>
          <w:szCs w:val="20"/>
        </w:rPr>
        <w:t>Orientações práticas:</w:t>
      </w:r>
    </w:p>
    <w:p w:rsidR="00CA7D8E" w:rsidRPr="007C77ED" w:rsidRDefault="00CA7D8E" w:rsidP="00CA7D8E">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sz w:val="20"/>
          <w:szCs w:val="20"/>
        </w:rPr>
        <w:t>Para as aquisições de medicamentos a necessidade de justificativa para a vedação à participação de empresas reunidas em consórcio torna-se dispensada pelas razões expostas no parecer PGE/MS/CJUR-SUCOMP/N. 032/2020 (aprovado pela decisão PGE/MS/GAB/N. 401/2020), cuja tese jurídica aprovada fixou que: “</w:t>
      </w:r>
      <w:r w:rsidRPr="007C77ED">
        <w:rPr>
          <w:rFonts w:ascii="Arial" w:hAnsi="Arial" w:cs="Arial"/>
          <w:i/>
          <w:sz w:val="20"/>
          <w:szCs w:val="20"/>
        </w:rPr>
        <w:t xml:space="preserve">A falta de motivação da não participação de consórcio não importa em nulidade do procedimento ou restrição à competitividade, por estar-se diante de uma contratação de objeto de natureza comum (aquisição de medicamentos) e de pequeno vulto, uma vez aquela afigura-se implícita ou in </w:t>
      </w:r>
      <w:proofErr w:type="spellStart"/>
      <w:r w:rsidRPr="007C77ED">
        <w:rPr>
          <w:rFonts w:ascii="Arial" w:hAnsi="Arial" w:cs="Arial"/>
          <w:i/>
          <w:sz w:val="20"/>
          <w:szCs w:val="20"/>
        </w:rPr>
        <w:t>re</w:t>
      </w:r>
      <w:proofErr w:type="spellEnd"/>
      <w:r w:rsidRPr="007C77ED">
        <w:rPr>
          <w:rFonts w:ascii="Arial" w:hAnsi="Arial" w:cs="Arial"/>
          <w:i/>
          <w:sz w:val="20"/>
          <w:szCs w:val="20"/>
        </w:rPr>
        <w:t xml:space="preserve"> </w:t>
      </w:r>
      <w:proofErr w:type="spellStart"/>
      <w:r w:rsidRPr="007C77ED">
        <w:rPr>
          <w:rFonts w:ascii="Arial" w:hAnsi="Arial" w:cs="Arial"/>
          <w:i/>
          <w:sz w:val="20"/>
          <w:szCs w:val="20"/>
        </w:rPr>
        <w:t>ipsa</w:t>
      </w:r>
      <w:proofErr w:type="spellEnd"/>
      <w:r w:rsidRPr="007C77ED">
        <w:rPr>
          <w:rFonts w:ascii="Arial" w:hAnsi="Arial" w:cs="Arial"/>
          <w:i/>
          <w:sz w:val="20"/>
          <w:szCs w:val="20"/>
        </w:rPr>
        <w:t xml:space="preserve"> (ou seja, imanente ao próprio objeto)”</w:t>
      </w:r>
      <w:r w:rsidRPr="007C77ED">
        <w:rPr>
          <w:rFonts w:ascii="Arial" w:hAnsi="Arial" w:cs="Arial"/>
          <w:sz w:val="20"/>
          <w:szCs w:val="20"/>
        </w:rPr>
        <w:t xml:space="preserve">. </w:t>
      </w:r>
    </w:p>
    <w:p w:rsidR="00CA7D8E" w:rsidRPr="007C77ED" w:rsidRDefault="00CA7D8E" w:rsidP="00CA7D8E">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sz w:val="20"/>
          <w:szCs w:val="20"/>
        </w:rPr>
        <w:t>Contudo, caso a equipe de planejamento identifique que a permissão à participação de empresas reunidas em consórcio valorizará a competição, deverá motivar sua decisão nos autos do processo de aquisição de medicamento.</w:t>
      </w:r>
    </w:p>
    <w:p w:rsidR="00CA7D8E" w:rsidRPr="007C77ED" w:rsidRDefault="00CA7D8E" w:rsidP="00CA7D8E">
      <w:pPr>
        <w:spacing w:after="120" w:line="240" w:lineRule="auto"/>
        <w:jc w:val="both"/>
        <w:rPr>
          <w:rFonts w:ascii="Arial" w:eastAsia="Times New Roman" w:hAnsi="Arial" w:cs="Arial"/>
          <w:sz w:val="20"/>
          <w:szCs w:val="20"/>
          <w:lang w:eastAsia="pt-BR"/>
        </w:rPr>
      </w:pPr>
    </w:p>
    <w:p w:rsidR="00CA7D8E" w:rsidRPr="007C77ED" w:rsidRDefault="00CA7D8E" w:rsidP="00CA7D8E">
      <w:pPr>
        <w:spacing w:after="0" w:line="240" w:lineRule="auto"/>
        <w:jc w:val="both"/>
        <w:rPr>
          <w:rFonts w:ascii="Arial" w:hAnsi="Arial" w:cs="Arial"/>
          <w:b/>
          <w:sz w:val="20"/>
          <w:szCs w:val="20"/>
        </w:rPr>
      </w:pPr>
      <w:r w:rsidRPr="007C77ED">
        <w:rPr>
          <w:rFonts w:ascii="Arial" w:hAnsi="Arial" w:cs="Arial"/>
          <w:b/>
          <w:sz w:val="20"/>
          <w:szCs w:val="20"/>
        </w:rPr>
        <w:t>6.3. Subcontratação</w:t>
      </w:r>
    </w:p>
    <w:p w:rsidR="00CA7D8E" w:rsidRPr="007C77ED" w:rsidRDefault="00CA7D8E" w:rsidP="00CA7D8E">
      <w:pPr>
        <w:spacing w:after="0" w:line="240" w:lineRule="auto"/>
        <w:jc w:val="both"/>
        <w:rPr>
          <w:rFonts w:ascii="Arial" w:hAnsi="Arial" w:cs="Arial"/>
          <w:b/>
          <w:sz w:val="20"/>
          <w:szCs w:val="20"/>
        </w:rPr>
      </w:pPr>
    </w:p>
    <w:p w:rsidR="00CA7D8E" w:rsidRPr="007C77ED" w:rsidRDefault="00CA7D8E" w:rsidP="00CA7D8E">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7C77ED">
        <w:rPr>
          <w:rFonts w:ascii="Arial" w:eastAsia="Times New Roman" w:hAnsi="Arial" w:cs="Arial"/>
          <w:b/>
          <w:sz w:val="20"/>
          <w:szCs w:val="20"/>
          <w:lang w:eastAsia="pt-BR"/>
        </w:rPr>
        <w:t>Nota explicativa:</w:t>
      </w:r>
      <w:r w:rsidRPr="007C77ED">
        <w:rPr>
          <w:rFonts w:ascii="Arial" w:eastAsia="Times New Roman" w:hAnsi="Arial" w:cs="Arial"/>
          <w:sz w:val="20"/>
          <w:szCs w:val="20"/>
          <w:lang w:eastAsia="pt-BR"/>
        </w:rPr>
        <w:t xml:space="preserve"> A redação que segue é meramente ilustrativa e contempla a vedação à subcontratação, assim como a subcontratação parcial do objeto, vinculada à prestação de serviços acessórios.</w:t>
      </w:r>
    </w:p>
    <w:p w:rsidR="00CA7D8E" w:rsidRPr="007C77ED" w:rsidRDefault="00CA7D8E" w:rsidP="00CA7D8E">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7C77ED">
        <w:rPr>
          <w:rFonts w:ascii="Arial" w:eastAsia="Times New Roman" w:hAnsi="Arial" w:cs="Arial"/>
          <w:sz w:val="20"/>
          <w:szCs w:val="20"/>
          <w:lang w:eastAsia="pt-BR"/>
        </w:rPr>
        <w:t>A escolha ficará a cargo da equipe de planejamento, observando as peculiaridades de cada aquisição.</w:t>
      </w:r>
    </w:p>
    <w:p w:rsidR="00CA7D8E" w:rsidRPr="007C77ED" w:rsidRDefault="00CA7D8E" w:rsidP="00CA7D8E">
      <w:pPr>
        <w:spacing w:after="0" w:line="240" w:lineRule="auto"/>
        <w:jc w:val="both"/>
        <w:rPr>
          <w:rFonts w:ascii="Arial" w:eastAsia="Times New Roman" w:hAnsi="Arial" w:cs="Arial"/>
          <w:b/>
          <w:sz w:val="20"/>
          <w:szCs w:val="20"/>
          <w:lang w:eastAsia="pt-BR"/>
        </w:rPr>
      </w:pPr>
    </w:p>
    <w:p w:rsidR="00CA7D8E" w:rsidRPr="007C77ED" w:rsidRDefault="00CA7D8E" w:rsidP="00CA7D8E">
      <w:pPr>
        <w:spacing w:after="0" w:line="240" w:lineRule="auto"/>
        <w:jc w:val="both"/>
        <w:rPr>
          <w:rFonts w:ascii="Arial" w:eastAsia="Times New Roman" w:hAnsi="Arial" w:cs="Arial"/>
          <w:color w:val="FF0000"/>
          <w:sz w:val="20"/>
          <w:szCs w:val="20"/>
          <w:lang w:eastAsia="pt-BR"/>
        </w:rPr>
      </w:pPr>
      <w:r w:rsidRPr="007C77ED">
        <w:rPr>
          <w:rFonts w:ascii="Arial" w:eastAsia="Times New Roman" w:hAnsi="Arial" w:cs="Arial"/>
          <w:b/>
          <w:color w:val="FF0000"/>
          <w:sz w:val="20"/>
          <w:szCs w:val="20"/>
          <w:lang w:eastAsia="pt-BR"/>
        </w:rPr>
        <w:t xml:space="preserve">6.3.1. </w:t>
      </w:r>
      <w:r w:rsidRPr="007C77ED">
        <w:rPr>
          <w:rFonts w:ascii="Arial" w:eastAsia="Times New Roman" w:hAnsi="Arial" w:cs="Arial"/>
          <w:color w:val="FF0000"/>
          <w:sz w:val="20"/>
          <w:szCs w:val="20"/>
          <w:lang w:eastAsia="pt-BR"/>
        </w:rPr>
        <w:t>Não será admitida a subcontratação do objeto licitatório.</w:t>
      </w:r>
    </w:p>
    <w:p w:rsidR="00CA7D8E" w:rsidRPr="007C77ED" w:rsidRDefault="00CA7D8E" w:rsidP="00CA7D8E">
      <w:pPr>
        <w:spacing w:after="0" w:line="240" w:lineRule="auto"/>
        <w:jc w:val="both"/>
        <w:rPr>
          <w:rFonts w:ascii="Arial" w:eastAsia="Times New Roman" w:hAnsi="Arial" w:cs="Arial"/>
          <w:color w:val="FF0000"/>
          <w:sz w:val="20"/>
          <w:szCs w:val="20"/>
          <w:lang w:eastAsia="pt-BR"/>
        </w:rPr>
      </w:pPr>
    </w:p>
    <w:p w:rsidR="00CA7D8E" w:rsidRPr="007C77ED" w:rsidRDefault="00CA7D8E" w:rsidP="00CA7D8E">
      <w:pPr>
        <w:spacing w:after="0" w:line="240" w:lineRule="auto"/>
        <w:jc w:val="both"/>
        <w:rPr>
          <w:rFonts w:ascii="Arial" w:eastAsia="Times New Roman" w:hAnsi="Arial" w:cs="Arial"/>
          <w:b/>
          <w:color w:val="FF0000"/>
          <w:sz w:val="20"/>
          <w:szCs w:val="20"/>
          <w:lang w:eastAsia="pt-BR"/>
        </w:rPr>
      </w:pPr>
      <w:r w:rsidRPr="007C77ED">
        <w:rPr>
          <w:rFonts w:ascii="Arial" w:eastAsia="Times New Roman" w:hAnsi="Arial" w:cs="Arial"/>
          <w:b/>
          <w:color w:val="FF0000"/>
          <w:sz w:val="20"/>
          <w:szCs w:val="20"/>
          <w:highlight w:val="yellow"/>
          <w:lang w:eastAsia="pt-BR"/>
        </w:rPr>
        <w:t>OU</w:t>
      </w:r>
    </w:p>
    <w:p w:rsidR="00CA7D8E" w:rsidRPr="007C77ED" w:rsidRDefault="00CA7D8E" w:rsidP="00CA7D8E">
      <w:pPr>
        <w:spacing w:after="0" w:line="240" w:lineRule="auto"/>
        <w:jc w:val="both"/>
        <w:rPr>
          <w:rFonts w:ascii="Arial" w:eastAsia="Times New Roman" w:hAnsi="Arial" w:cs="Arial"/>
          <w:color w:val="FF0000"/>
          <w:sz w:val="20"/>
          <w:szCs w:val="20"/>
          <w:lang w:eastAsia="pt-BR"/>
        </w:rPr>
      </w:pPr>
    </w:p>
    <w:p w:rsidR="00CA7D8E" w:rsidRPr="007C77ED" w:rsidRDefault="00CA7D8E" w:rsidP="00CA7D8E">
      <w:pPr>
        <w:spacing w:after="0" w:line="240" w:lineRule="auto"/>
        <w:jc w:val="both"/>
        <w:rPr>
          <w:rFonts w:ascii="Arial" w:eastAsia="Times New Roman" w:hAnsi="Arial" w:cs="Arial"/>
          <w:color w:val="FF0000"/>
          <w:sz w:val="20"/>
          <w:szCs w:val="20"/>
          <w:lang w:eastAsia="pt-BR"/>
        </w:rPr>
      </w:pPr>
      <w:r w:rsidRPr="007C77ED">
        <w:rPr>
          <w:rFonts w:ascii="Arial" w:eastAsia="Times New Roman" w:hAnsi="Arial" w:cs="Arial"/>
          <w:b/>
          <w:color w:val="FF0000"/>
          <w:sz w:val="20"/>
          <w:szCs w:val="20"/>
          <w:lang w:eastAsia="pt-BR"/>
        </w:rPr>
        <w:t>6.3.1</w:t>
      </w:r>
      <w:r w:rsidRPr="007C77ED">
        <w:rPr>
          <w:rFonts w:ascii="Arial" w:eastAsia="Times New Roman" w:hAnsi="Arial" w:cs="Arial"/>
          <w:color w:val="FF0000"/>
          <w:sz w:val="20"/>
          <w:szCs w:val="20"/>
          <w:lang w:eastAsia="pt-BR"/>
        </w:rPr>
        <w:t xml:space="preserve">. É permitida a subcontratação parcial do objeto, exclusivamente para a prestação de serviços acessórios, até o limite de </w:t>
      </w:r>
      <w:r w:rsidRPr="007C77ED">
        <w:rPr>
          <w:rFonts w:ascii="Arial" w:eastAsia="Times New Roman" w:hAnsi="Arial" w:cs="Arial"/>
          <w:color w:val="FF0000"/>
          <w:sz w:val="20"/>
          <w:szCs w:val="20"/>
          <w:highlight w:val="yellow"/>
          <w:lang w:eastAsia="pt-BR"/>
        </w:rPr>
        <w:t xml:space="preserve">.... % </w:t>
      </w:r>
      <w:proofErr w:type="gramStart"/>
      <w:r w:rsidRPr="007C77ED">
        <w:rPr>
          <w:rFonts w:ascii="Arial" w:eastAsia="Times New Roman" w:hAnsi="Arial" w:cs="Arial"/>
          <w:color w:val="FF0000"/>
          <w:sz w:val="20"/>
          <w:szCs w:val="20"/>
          <w:highlight w:val="yellow"/>
          <w:lang w:eastAsia="pt-BR"/>
        </w:rPr>
        <w:t>( ...</w:t>
      </w:r>
      <w:proofErr w:type="gramEnd"/>
      <w:r w:rsidRPr="007C77ED">
        <w:rPr>
          <w:rFonts w:ascii="Arial" w:eastAsia="Times New Roman" w:hAnsi="Arial" w:cs="Arial"/>
          <w:color w:val="FF0000"/>
          <w:sz w:val="20"/>
          <w:szCs w:val="20"/>
          <w:highlight w:val="yellow"/>
          <w:lang w:eastAsia="pt-BR"/>
        </w:rPr>
        <w:t xml:space="preserve"> por cento)</w:t>
      </w:r>
      <w:r w:rsidRPr="007C77ED">
        <w:rPr>
          <w:rFonts w:ascii="Arial" w:eastAsia="Times New Roman" w:hAnsi="Arial" w:cs="Arial"/>
          <w:color w:val="FF0000"/>
          <w:sz w:val="20"/>
          <w:szCs w:val="20"/>
          <w:lang w:eastAsia="pt-BR"/>
        </w:rPr>
        <w:t xml:space="preserve"> do valor total do contrato, nas seguintes condições:</w:t>
      </w:r>
    </w:p>
    <w:p w:rsidR="00CA7D8E" w:rsidRPr="007C77ED" w:rsidRDefault="00CA7D8E" w:rsidP="00CA7D8E">
      <w:pPr>
        <w:spacing w:after="0" w:line="240" w:lineRule="auto"/>
        <w:jc w:val="both"/>
        <w:rPr>
          <w:rFonts w:ascii="Arial" w:eastAsia="Times New Roman" w:hAnsi="Arial" w:cs="Arial"/>
          <w:color w:val="FF0000"/>
          <w:sz w:val="20"/>
          <w:szCs w:val="20"/>
          <w:lang w:eastAsia="pt-BR"/>
        </w:rPr>
      </w:pPr>
    </w:p>
    <w:p w:rsidR="00CA7D8E" w:rsidRPr="007C77ED" w:rsidRDefault="00CA7D8E" w:rsidP="00CA7D8E">
      <w:pPr>
        <w:spacing w:after="0" w:line="240" w:lineRule="auto"/>
        <w:jc w:val="both"/>
        <w:rPr>
          <w:rFonts w:ascii="Arial" w:eastAsia="Times New Roman" w:hAnsi="Arial" w:cs="Arial"/>
          <w:b/>
          <w:color w:val="FF0000"/>
          <w:sz w:val="20"/>
          <w:szCs w:val="20"/>
          <w:lang w:eastAsia="pt-BR"/>
        </w:rPr>
      </w:pPr>
      <w:r w:rsidRPr="007C77ED">
        <w:rPr>
          <w:rFonts w:ascii="Arial" w:eastAsia="Times New Roman" w:hAnsi="Arial" w:cs="Arial"/>
          <w:b/>
          <w:color w:val="FF0000"/>
          <w:sz w:val="20"/>
          <w:szCs w:val="20"/>
          <w:lang w:eastAsia="pt-BR"/>
        </w:rPr>
        <w:t xml:space="preserve">6.3.1.1. </w:t>
      </w:r>
      <w:r w:rsidRPr="007C77ED">
        <w:rPr>
          <w:rFonts w:ascii="Arial" w:eastAsia="Times New Roman" w:hAnsi="Arial" w:cs="Arial"/>
          <w:color w:val="FF0000"/>
          <w:sz w:val="20"/>
          <w:szCs w:val="20"/>
          <w:highlight w:val="yellow"/>
          <w:lang w:eastAsia="pt-BR"/>
        </w:rPr>
        <w:t>...</w:t>
      </w:r>
    </w:p>
    <w:p w:rsidR="00CA7D8E" w:rsidRPr="007C77ED" w:rsidRDefault="00CA7D8E" w:rsidP="00CA7D8E">
      <w:pPr>
        <w:spacing w:after="0" w:line="240" w:lineRule="auto"/>
        <w:jc w:val="both"/>
        <w:rPr>
          <w:rFonts w:ascii="Arial" w:eastAsia="Times New Roman" w:hAnsi="Arial" w:cs="Arial"/>
          <w:b/>
          <w:color w:val="FF0000"/>
          <w:sz w:val="20"/>
          <w:szCs w:val="20"/>
          <w:lang w:eastAsia="pt-BR"/>
        </w:rPr>
      </w:pPr>
    </w:p>
    <w:p w:rsidR="00CA7D8E" w:rsidRPr="007C77ED" w:rsidRDefault="00CA7D8E" w:rsidP="00CA7D8E">
      <w:pPr>
        <w:spacing w:after="0" w:line="240" w:lineRule="auto"/>
        <w:jc w:val="both"/>
        <w:rPr>
          <w:rFonts w:ascii="Arial" w:eastAsia="Times New Roman" w:hAnsi="Arial" w:cs="Arial"/>
          <w:b/>
          <w:color w:val="FF0000"/>
          <w:sz w:val="20"/>
          <w:szCs w:val="20"/>
          <w:lang w:eastAsia="pt-BR"/>
        </w:rPr>
      </w:pPr>
      <w:r w:rsidRPr="007C77ED">
        <w:rPr>
          <w:rFonts w:ascii="Arial" w:eastAsia="Times New Roman" w:hAnsi="Arial" w:cs="Arial"/>
          <w:b/>
          <w:color w:val="FF0000"/>
          <w:sz w:val="20"/>
          <w:szCs w:val="20"/>
          <w:lang w:eastAsia="pt-BR"/>
        </w:rPr>
        <w:t xml:space="preserve">6.3.1.2. </w:t>
      </w:r>
      <w:r w:rsidRPr="007C77ED">
        <w:rPr>
          <w:rFonts w:ascii="Arial" w:eastAsia="Times New Roman" w:hAnsi="Arial" w:cs="Arial"/>
          <w:color w:val="FF0000"/>
          <w:sz w:val="20"/>
          <w:szCs w:val="20"/>
          <w:highlight w:val="yellow"/>
          <w:lang w:eastAsia="pt-BR"/>
        </w:rPr>
        <w:t>...</w:t>
      </w:r>
    </w:p>
    <w:p w:rsidR="00CA7D8E" w:rsidRPr="007C77ED" w:rsidRDefault="00CA7D8E" w:rsidP="00CA7D8E">
      <w:pPr>
        <w:spacing w:after="0" w:line="240" w:lineRule="auto"/>
        <w:jc w:val="both"/>
        <w:rPr>
          <w:rFonts w:ascii="Arial" w:eastAsia="Times New Roman" w:hAnsi="Arial" w:cs="Arial"/>
          <w:color w:val="FF0000"/>
          <w:sz w:val="20"/>
          <w:szCs w:val="20"/>
          <w:lang w:eastAsia="pt-BR"/>
        </w:rPr>
      </w:pPr>
    </w:p>
    <w:p w:rsidR="00CA7D8E" w:rsidRPr="007C77ED" w:rsidRDefault="00CA7D8E" w:rsidP="00CA7D8E">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b/>
          <w:sz w:val="20"/>
          <w:szCs w:val="20"/>
        </w:rPr>
      </w:pPr>
      <w:r w:rsidRPr="007C77ED">
        <w:rPr>
          <w:rFonts w:ascii="Arial" w:hAnsi="Arial" w:cs="Arial"/>
          <w:b/>
          <w:sz w:val="20"/>
          <w:szCs w:val="20"/>
        </w:rPr>
        <w:t>Orientações práticas:</w:t>
      </w:r>
    </w:p>
    <w:p w:rsidR="00CA7D8E" w:rsidRPr="007C77ED" w:rsidRDefault="00CA7D8E" w:rsidP="00CA7D8E">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sz w:val="20"/>
          <w:szCs w:val="20"/>
        </w:rPr>
        <w:t xml:space="preserve">Dispõe a Lei nº 8.666/93, em seu art. 72, que a contratada, na execução do contrato, sem prejuízo das responsabilidades contratuais e legais, poderá subcontratar partes do serviço ou fornecimento, até o limite admitido, em cada caso, pela Administração. No caso do fornecimento de bens, a subcontratação somente é admitida quando vinculada à prestação de serviços acessórios. </w:t>
      </w:r>
    </w:p>
    <w:p w:rsidR="00CA7D8E" w:rsidRPr="007C77ED" w:rsidRDefault="00CA7D8E" w:rsidP="00CA7D8E">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sz w:val="20"/>
          <w:szCs w:val="20"/>
        </w:rPr>
        <w:t xml:space="preserve">Assim, a pertinência da subcontratação deverá ser analisada pela Administração em cada caso concreto, especialmente considerando a complexidade do objeto da contratação. </w:t>
      </w:r>
    </w:p>
    <w:p w:rsidR="00CA7D8E" w:rsidRPr="007C77ED" w:rsidRDefault="00CA7D8E" w:rsidP="00CA7D8E">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sz w:val="20"/>
          <w:szCs w:val="20"/>
        </w:rPr>
        <w:t>Caso admitida, a Administração autorizará a subcontratação mediante ato motivado, a comprovar que a medida atende às recomendações do TR e convém à consecução das finalidades do contrato, bem como estabelecerá com detalhamento seus limites e condições, inclusive especificando quais parcelas do objeto poderão ser subcontratadas.</w:t>
      </w:r>
    </w:p>
    <w:p w:rsidR="00CA7D8E" w:rsidRPr="007C77ED" w:rsidRDefault="00CA7D8E" w:rsidP="00CA7D8E">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sz w:val="20"/>
          <w:szCs w:val="20"/>
        </w:rPr>
        <w:t>É importante verificar que são vedadas (i) a exigência de subcontratação de itens ou parcelas determinadas ou de empresas específicas; (</w:t>
      </w:r>
      <w:proofErr w:type="spellStart"/>
      <w:r w:rsidRPr="007C77ED">
        <w:rPr>
          <w:rFonts w:ascii="Arial" w:hAnsi="Arial" w:cs="Arial"/>
          <w:sz w:val="20"/>
          <w:szCs w:val="20"/>
        </w:rPr>
        <w:t>ii</w:t>
      </w:r>
      <w:proofErr w:type="spellEnd"/>
      <w:r w:rsidRPr="007C77ED">
        <w:rPr>
          <w:rFonts w:ascii="Arial" w:hAnsi="Arial" w:cs="Arial"/>
          <w:sz w:val="20"/>
          <w:szCs w:val="20"/>
        </w:rPr>
        <w:t>) a subcontratação das parcelas de maior relevância técnica; e (</w:t>
      </w:r>
      <w:proofErr w:type="spellStart"/>
      <w:r w:rsidRPr="007C77ED">
        <w:rPr>
          <w:rFonts w:ascii="Arial" w:hAnsi="Arial" w:cs="Arial"/>
          <w:sz w:val="20"/>
          <w:szCs w:val="20"/>
        </w:rPr>
        <w:t>iii</w:t>
      </w:r>
      <w:proofErr w:type="spellEnd"/>
      <w:r w:rsidRPr="007C77ED">
        <w:rPr>
          <w:rFonts w:ascii="Arial" w:hAnsi="Arial" w:cs="Arial"/>
          <w:sz w:val="20"/>
          <w:szCs w:val="20"/>
        </w:rPr>
        <w:t>) a subcontratação de microempresas ou empresas de pequeno porte que tenham um ou mais sócios em comum com a empresa contratante.</w:t>
      </w:r>
    </w:p>
    <w:p w:rsidR="00CA7D8E" w:rsidRPr="007C77ED" w:rsidRDefault="00CA7D8E" w:rsidP="00CA7D8E">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sz w:val="20"/>
          <w:szCs w:val="20"/>
        </w:rPr>
        <w:t>Quando a qualificação técnica da empresa for fator preponderante para sua contratação e a subcontratação for admitida, é imprescindível que se exija o cumprimento dos mesmos requisitos por parte da subcontratada (Acórdão n° 1.229/2008 – Plenário do TCU).</w:t>
      </w:r>
    </w:p>
    <w:p w:rsidR="00CA7D8E" w:rsidRPr="007C77ED" w:rsidRDefault="00CA7D8E" w:rsidP="00CA7D8E">
      <w:pPr>
        <w:spacing w:after="0" w:line="240" w:lineRule="auto"/>
        <w:jc w:val="both"/>
        <w:rPr>
          <w:rFonts w:ascii="Arial" w:eastAsia="Times New Roman" w:hAnsi="Arial" w:cs="Arial"/>
          <w:b/>
          <w:color w:val="FF0000"/>
          <w:sz w:val="20"/>
          <w:szCs w:val="20"/>
          <w:lang w:eastAsia="pt-BR"/>
        </w:rPr>
      </w:pPr>
    </w:p>
    <w:p w:rsidR="00CA7D8E" w:rsidRPr="007C77ED" w:rsidRDefault="00CA7D8E" w:rsidP="00CA7D8E">
      <w:pPr>
        <w:spacing w:after="0" w:line="240" w:lineRule="auto"/>
        <w:jc w:val="both"/>
        <w:rPr>
          <w:rFonts w:ascii="Arial" w:eastAsia="Times New Roman" w:hAnsi="Arial" w:cs="Arial"/>
          <w:color w:val="FF0000"/>
          <w:sz w:val="20"/>
          <w:szCs w:val="20"/>
          <w:lang w:eastAsia="pt-BR"/>
        </w:rPr>
      </w:pPr>
      <w:r w:rsidRPr="007C77ED">
        <w:rPr>
          <w:rFonts w:ascii="Arial" w:eastAsia="Times New Roman" w:hAnsi="Arial" w:cs="Arial"/>
          <w:b/>
          <w:color w:val="FF0000"/>
          <w:sz w:val="20"/>
          <w:szCs w:val="20"/>
          <w:lang w:eastAsia="pt-BR"/>
        </w:rPr>
        <w:t>6.3.2.</w:t>
      </w:r>
      <w:r w:rsidRPr="007C77ED">
        <w:rPr>
          <w:rFonts w:ascii="Arial" w:eastAsia="Times New Roman" w:hAnsi="Arial" w:cs="Arial"/>
          <w:color w:val="FF0000"/>
          <w:sz w:val="20"/>
          <w:szCs w:val="20"/>
          <w:lang w:eastAsia="pt-BR"/>
        </w:rPr>
        <w:t xml:space="preserve"> A subcontratação depende de autorização prévia da contratante, a quem incumbe verificar a regularidade fiscal e trabalhista da subcontratada e avaliar se esta cumpre os requisitos necessários para a execução do objeto. </w:t>
      </w:r>
    </w:p>
    <w:p w:rsidR="00CA7D8E" w:rsidRPr="007C77ED" w:rsidRDefault="00CA7D8E" w:rsidP="00CA7D8E">
      <w:pPr>
        <w:spacing w:after="0" w:line="240" w:lineRule="auto"/>
        <w:jc w:val="both"/>
        <w:rPr>
          <w:rFonts w:ascii="Arial" w:eastAsia="Times New Roman" w:hAnsi="Arial" w:cs="Arial"/>
          <w:color w:val="FF0000"/>
          <w:sz w:val="20"/>
          <w:szCs w:val="20"/>
          <w:lang w:eastAsia="pt-BR"/>
        </w:rPr>
      </w:pPr>
    </w:p>
    <w:p w:rsidR="00CA7D8E" w:rsidRPr="007C77ED" w:rsidRDefault="00CA7D8E" w:rsidP="00CA7D8E">
      <w:pPr>
        <w:spacing w:after="0" w:line="240" w:lineRule="auto"/>
        <w:jc w:val="both"/>
        <w:rPr>
          <w:rFonts w:ascii="Arial" w:eastAsia="Times New Roman" w:hAnsi="Arial" w:cs="Arial"/>
          <w:color w:val="FF0000"/>
          <w:sz w:val="20"/>
          <w:szCs w:val="20"/>
          <w:lang w:eastAsia="pt-BR"/>
        </w:rPr>
      </w:pPr>
      <w:r w:rsidRPr="007C77ED">
        <w:rPr>
          <w:rFonts w:ascii="Arial" w:eastAsia="Times New Roman" w:hAnsi="Arial" w:cs="Arial"/>
          <w:b/>
          <w:color w:val="FF0000"/>
          <w:sz w:val="20"/>
          <w:szCs w:val="20"/>
          <w:lang w:eastAsia="pt-BR"/>
        </w:rPr>
        <w:t>6.3.3.</w:t>
      </w:r>
      <w:r w:rsidRPr="007C77ED">
        <w:rPr>
          <w:rFonts w:ascii="Arial" w:eastAsia="Times New Roman" w:hAnsi="Arial" w:cs="Arial"/>
          <w:color w:val="FF0000"/>
          <w:sz w:val="20"/>
          <w:szCs w:val="20"/>
          <w:lang w:eastAsia="pt-BR"/>
        </w:rPr>
        <w:t xml:space="preserve"> Em qualquer hipótese de subcontratação, permanece a responsabilidade integral da contratada pela perfeita execução contratual, cabendo-lhe realizar a supervisão e coordenação das atividades da subcontratada, bem como responder perante a contratante pelo rigoroso cumprimento das obrigações contratuais correspondentes ao objeto da subcontratação.</w:t>
      </w:r>
    </w:p>
    <w:p w:rsidR="00CA7D8E" w:rsidRPr="007C77ED" w:rsidRDefault="00CA7D8E" w:rsidP="00CA7D8E">
      <w:pPr>
        <w:spacing w:after="120" w:line="240" w:lineRule="auto"/>
        <w:jc w:val="both"/>
        <w:rPr>
          <w:rFonts w:ascii="Arial" w:eastAsia="Times New Roman" w:hAnsi="Arial" w:cs="Arial"/>
          <w:sz w:val="20"/>
          <w:szCs w:val="20"/>
          <w:lang w:eastAsia="pt-BR"/>
        </w:rPr>
      </w:pPr>
    </w:p>
    <w:p w:rsidR="00CA7D8E" w:rsidRPr="007C77ED" w:rsidRDefault="00CA7D8E" w:rsidP="00CA7D8E">
      <w:pPr>
        <w:spacing w:after="0" w:line="240" w:lineRule="auto"/>
        <w:jc w:val="both"/>
        <w:rPr>
          <w:rFonts w:ascii="Arial" w:hAnsi="Arial" w:cs="Arial"/>
          <w:b/>
          <w:color w:val="000000"/>
          <w:sz w:val="20"/>
          <w:szCs w:val="20"/>
        </w:rPr>
      </w:pPr>
      <w:r w:rsidRPr="007C77ED">
        <w:rPr>
          <w:rFonts w:ascii="Arial" w:hAnsi="Arial" w:cs="Arial"/>
          <w:b/>
          <w:color w:val="000000"/>
          <w:sz w:val="20"/>
          <w:szCs w:val="20"/>
        </w:rPr>
        <w:t>7. PARTICIPAÇÃO DE MICROEMPRESA E EMPRESA DE PEQUENO PORTE</w:t>
      </w:r>
    </w:p>
    <w:p w:rsidR="00CA7D8E" w:rsidRPr="007C77ED" w:rsidRDefault="00CA7D8E" w:rsidP="00CA7D8E">
      <w:pPr>
        <w:spacing w:after="0" w:line="240" w:lineRule="auto"/>
        <w:jc w:val="both"/>
        <w:rPr>
          <w:rFonts w:ascii="Arial" w:hAnsi="Arial" w:cs="Arial"/>
          <w:b/>
          <w:color w:val="000000"/>
          <w:sz w:val="20"/>
          <w:szCs w:val="20"/>
        </w:rPr>
      </w:pPr>
    </w:p>
    <w:p w:rsidR="00CA7D8E" w:rsidRPr="00BA680E" w:rsidRDefault="00CA7D8E" w:rsidP="00CA7D8E">
      <w:pPr>
        <w:spacing w:after="0" w:line="240" w:lineRule="auto"/>
        <w:jc w:val="both"/>
        <w:rPr>
          <w:rFonts w:ascii="Arial" w:hAnsi="Arial" w:cs="Arial"/>
          <w:color w:val="FF0000"/>
          <w:sz w:val="20"/>
          <w:szCs w:val="20"/>
        </w:rPr>
      </w:pPr>
      <w:r w:rsidRPr="00BA680E">
        <w:rPr>
          <w:rFonts w:ascii="Arial" w:hAnsi="Arial" w:cs="Arial"/>
          <w:b/>
          <w:color w:val="FF0000"/>
          <w:sz w:val="20"/>
          <w:szCs w:val="20"/>
        </w:rPr>
        <w:t>7.1.</w:t>
      </w:r>
      <w:r w:rsidRPr="00BA680E">
        <w:rPr>
          <w:rFonts w:ascii="Arial" w:hAnsi="Arial" w:cs="Arial"/>
          <w:color w:val="FF0000"/>
          <w:sz w:val="20"/>
          <w:szCs w:val="20"/>
        </w:rPr>
        <w:t xml:space="preserve"> A Lei Complementar n. 123/2006 vem dar tratamento diferenciado e simplificado à participação de ME e EPP e deve ser obrigatoriamente aplicada nas contratações da Administração Pública.      </w:t>
      </w:r>
    </w:p>
    <w:p w:rsidR="00CA7D8E" w:rsidRPr="00BA680E" w:rsidRDefault="00CA7D8E" w:rsidP="00CA7D8E">
      <w:pPr>
        <w:spacing w:after="0" w:line="240" w:lineRule="auto"/>
        <w:jc w:val="both"/>
        <w:rPr>
          <w:rFonts w:ascii="Arial" w:hAnsi="Arial" w:cs="Arial"/>
          <w:color w:val="FF0000"/>
          <w:sz w:val="20"/>
          <w:szCs w:val="20"/>
        </w:rPr>
      </w:pPr>
    </w:p>
    <w:p w:rsidR="00CA7D8E" w:rsidRPr="00BA680E" w:rsidRDefault="00CA7D8E" w:rsidP="00CA7D8E">
      <w:pPr>
        <w:spacing w:after="0" w:line="240" w:lineRule="auto"/>
        <w:jc w:val="both"/>
        <w:rPr>
          <w:rFonts w:ascii="Arial" w:hAnsi="Arial" w:cs="Arial"/>
          <w:color w:val="FF0000"/>
          <w:sz w:val="20"/>
          <w:szCs w:val="20"/>
        </w:rPr>
      </w:pPr>
      <w:r w:rsidRPr="00BA680E">
        <w:rPr>
          <w:rFonts w:ascii="Arial" w:hAnsi="Arial" w:cs="Arial"/>
          <w:b/>
          <w:color w:val="FF0000"/>
          <w:sz w:val="20"/>
          <w:szCs w:val="20"/>
        </w:rPr>
        <w:t>7.2.</w:t>
      </w:r>
      <w:r w:rsidRPr="00BA680E">
        <w:rPr>
          <w:rFonts w:ascii="Arial" w:hAnsi="Arial" w:cs="Arial"/>
          <w:color w:val="FF0000"/>
          <w:sz w:val="20"/>
          <w:szCs w:val="20"/>
        </w:rPr>
        <w:t xml:space="preserve"> Após a realização de pesquisa de preços, providenciada pela unidade competente, é conhecida a média de preços do item. Assim, caso o valor médio seja de até R$ 80.000,00 será aplicada a exclusividade na participação de ME/EPP conforme inciso I, art. 48, da Lei Complementar 123/2006. Caso a média de preços obtida seja superior a R$ 80.000,00 será aplicada a cota (25%) destinada a participação de ME/EPP, nos termos do inciso III, art. 48, da Lei Complementar n. 123/2006. </w:t>
      </w:r>
    </w:p>
    <w:p w:rsidR="00CA7D8E" w:rsidRPr="007C77ED" w:rsidRDefault="00CA7D8E" w:rsidP="00CA7D8E">
      <w:pPr>
        <w:spacing w:after="0" w:line="240" w:lineRule="auto"/>
        <w:jc w:val="both"/>
        <w:rPr>
          <w:rFonts w:ascii="Arial" w:hAnsi="Arial" w:cs="Arial"/>
          <w:color w:val="000000"/>
          <w:sz w:val="20"/>
          <w:szCs w:val="20"/>
        </w:rPr>
      </w:pPr>
    </w:p>
    <w:p w:rsidR="00CA7D8E" w:rsidRPr="007C77ED" w:rsidRDefault="00CA7D8E" w:rsidP="00CA7D8E">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b/>
          <w:sz w:val="20"/>
          <w:szCs w:val="20"/>
        </w:rPr>
      </w:pPr>
      <w:r w:rsidRPr="007C77ED">
        <w:rPr>
          <w:rFonts w:ascii="Arial" w:hAnsi="Arial" w:cs="Arial"/>
          <w:b/>
          <w:sz w:val="20"/>
          <w:szCs w:val="20"/>
        </w:rPr>
        <w:t>Orientações práticas:</w:t>
      </w:r>
    </w:p>
    <w:p w:rsidR="00CA7D8E" w:rsidRPr="007C77ED" w:rsidRDefault="00CA7D8E" w:rsidP="00CA7D8E">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sz w:val="20"/>
          <w:szCs w:val="20"/>
        </w:rPr>
        <w:t>De acordo com o disposto no art. 48, I, da LC federal n. 123/2006, nos itens da contratação cujo valor seja de até R$ 80.000,00 (oitenta mil reais), a Administração deve realizar processo licitatório destinado exclusivamente à participação de microempresas e empresas de pequeno porte. Já para os itens que ultrapassam oitenta mil reais (sendo estes relativos a bens de natureza divisível, mas que não possam – justificadamente – ser parcelados em montantes menores para possibilitar a realização de licitações exclusivas, em face de inviabilidade técnica e/ou econômica), deve ser aplicado o inciso III do artigo 48 da mesma Lei Complementar, o qual determina que em certames para aquisição de bens de natureza divisível, deverá ser estabelecida cota de até 25% (vinte e cinco por cento) do objeto para a contratação de microempresas e empresas de pequeno porte.</w:t>
      </w:r>
    </w:p>
    <w:p w:rsidR="00CA7D8E" w:rsidRPr="007C77ED" w:rsidRDefault="00CA7D8E" w:rsidP="00CA7D8E">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sz w:val="20"/>
          <w:szCs w:val="20"/>
        </w:rPr>
        <w:lastRenderedPageBreak/>
        <w:t>Contudo, deve ser observado que de acordo com o artigo 49, II, da LC n. 123/2006, as regras de tratamento diferenciado não se aplicam quando não houver um mínimo de 3 (três) fornecedores competitivos enquadrados como microempresas ou empresas de pequeno porte sediados local ou regionalmente e capazes de cumprir as exigências estabelecidas no instrumento convocatório.</w:t>
      </w:r>
    </w:p>
    <w:p w:rsidR="00CA7D8E" w:rsidRPr="007C77ED" w:rsidRDefault="00CA7D8E" w:rsidP="00CA7D8E">
      <w:pPr>
        <w:pBdr>
          <w:top w:val="single" w:sz="4" w:space="1" w:color="auto"/>
          <w:left w:val="single" w:sz="4" w:space="4" w:color="auto"/>
          <w:bottom w:val="single" w:sz="4" w:space="0" w:color="auto"/>
          <w:right w:val="single" w:sz="4" w:space="4" w:color="auto"/>
        </w:pBdr>
        <w:shd w:val="clear" w:color="auto" w:fill="FFFF00"/>
        <w:spacing w:after="120" w:line="240" w:lineRule="auto"/>
        <w:jc w:val="both"/>
        <w:rPr>
          <w:rFonts w:ascii="Arial" w:hAnsi="Arial" w:cs="Arial"/>
          <w:sz w:val="20"/>
          <w:szCs w:val="20"/>
        </w:rPr>
      </w:pPr>
      <w:r w:rsidRPr="37108326">
        <w:rPr>
          <w:rFonts w:ascii="Arial" w:hAnsi="Arial" w:cs="Arial"/>
          <w:sz w:val="20"/>
          <w:szCs w:val="20"/>
        </w:rPr>
        <w:t>Assim, a participação de ME e EPP, conforme estabelecido no art. 48, I e II, da LC 123/2006, deve ser justificada com a demonstração da existência de ao menos três empresas desse porte que atendam ao que exige o art. 49, II, da mesma LC.</w:t>
      </w:r>
    </w:p>
    <w:p w:rsidR="00CA7D8E" w:rsidRDefault="00CA7D8E" w:rsidP="00CA7D8E">
      <w:pPr>
        <w:spacing w:after="0" w:line="240" w:lineRule="auto"/>
        <w:jc w:val="both"/>
        <w:rPr>
          <w:rFonts w:ascii="Arial" w:eastAsia="Arial" w:hAnsi="Arial" w:cs="Arial"/>
          <w:color w:val="FF0000"/>
          <w:sz w:val="20"/>
          <w:szCs w:val="20"/>
          <w:highlight w:val="yellow"/>
        </w:rPr>
      </w:pPr>
    </w:p>
    <w:p w:rsidR="00CA7D8E" w:rsidRDefault="00CA7D8E" w:rsidP="00CA7D8E">
      <w:pPr>
        <w:spacing w:after="0" w:line="240" w:lineRule="auto"/>
        <w:jc w:val="both"/>
        <w:rPr>
          <w:rFonts w:ascii="Arial" w:eastAsia="Arial" w:hAnsi="Arial" w:cs="Arial"/>
          <w:color w:val="FF0000"/>
          <w:sz w:val="20"/>
          <w:szCs w:val="20"/>
        </w:rPr>
      </w:pPr>
      <w:r w:rsidRPr="37108326">
        <w:rPr>
          <w:rFonts w:ascii="Arial" w:eastAsia="Arial" w:hAnsi="Arial" w:cs="Arial"/>
          <w:color w:val="FF0000"/>
          <w:sz w:val="20"/>
          <w:szCs w:val="20"/>
          <w:highlight w:val="yellow"/>
        </w:rPr>
        <w:t>OU</w:t>
      </w:r>
    </w:p>
    <w:p w:rsidR="00CA7D8E" w:rsidRDefault="00CA7D8E" w:rsidP="00CA7D8E">
      <w:pPr>
        <w:spacing w:after="0" w:line="240" w:lineRule="auto"/>
        <w:jc w:val="both"/>
        <w:rPr>
          <w:rFonts w:ascii="Arial" w:eastAsia="Arial" w:hAnsi="Arial" w:cs="Arial"/>
          <w:color w:val="000000" w:themeColor="text1"/>
          <w:sz w:val="20"/>
          <w:szCs w:val="20"/>
        </w:rPr>
      </w:pPr>
    </w:p>
    <w:p w:rsidR="00CA7D8E" w:rsidRDefault="00CA7D8E" w:rsidP="00CA7D8E">
      <w:pPr>
        <w:spacing w:after="0" w:line="240" w:lineRule="auto"/>
        <w:jc w:val="both"/>
        <w:rPr>
          <w:rFonts w:ascii="Arial" w:eastAsia="Arial" w:hAnsi="Arial" w:cs="Arial"/>
          <w:color w:val="FF0000"/>
          <w:sz w:val="20"/>
          <w:szCs w:val="20"/>
        </w:rPr>
      </w:pPr>
      <w:r w:rsidRPr="37108326">
        <w:rPr>
          <w:rFonts w:ascii="Arial" w:eastAsia="Arial" w:hAnsi="Arial" w:cs="Arial"/>
          <w:b/>
          <w:bCs/>
          <w:color w:val="FF0000"/>
          <w:sz w:val="20"/>
          <w:szCs w:val="20"/>
        </w:rPr>
        <w:t xml:space="preserve">7.1. </w:t>
      </w:r>
      <w:r w:rsidRPr="37108326">
        <w:rPr>
          <w:rFonts w:ascii="Arial" w:eastAsia="Arial" w:hAnsi="Arial" w:cs="Arial"/>
          <w:color w:val="FF0000"/>
          <w:sz w:val="20"/>
          <w:szCs w:val="20"/>
        </w:rPr>
        <w:t>As regras de tratamento diferenciado para as microempresas e empresas de pequeno porte previstos no art. 48 da LC n. 123/2006 não serão adotadas nesta licitação, pela seguinte razão: (...)</w:t>
      </w:r>
    </w:p>
    <w:p w:rsidR="00CA7D8E" w:rsidRDefault="00CA7D8E" w:rsidP="00CA7D8E">
      <w:pPr>
        <w:spacing w:after="0" w:line="240" w:lineRule="auto"/>
        <w:jc w:val="both"/>
        <w:rPr>
          <w:rFonts w:ascii="Arial" w:eastAsia="Arial" w:hAnsi="Arial" w:cs="Arial"/>
          <w:color w:val="000000" w:themeColor="text1"/>
          <w:sz w:val="20"/>
          <w:szCs w:val="20"/>
        </w:rPr>
      </w:pPr>
    </w:p>
    <w:p w:rsidR="00CA7D8E" w:rsidRDefault="00CA7D8E" w:rsidP="00CA7D8E">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r w:rsidRPr="005A10B6">
        <w:rPr>
          <w:rFonts w:ascii="Arial" w:eastAsia="Times New Roman" w:hAnsi="Arial" w:cs="Arial"/>
          <w:b/>
          <w:bCs/>
          <w:sz w:val="20"/>
          <w:szCs w:val="20"/>
          <w:lang w:eastAsia="pt-BR"/>
        </w:rPr>
        <w:t>Orientações práticas:</w:t>
      </w:r>
    </w:p>
    <w:p w:rsidR="00CA7D8E" w:rsidRPr="005A10B6" w:rsidRDefault="00CA7D8E" w:rsidP="00CA7D8E">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p>
    <w:p w:rsidR="00CA7D8E" w:rsidRPr="005A10B6" w:rsidRDefault="00CA7D8E" w:rsidP="00CA7D8E">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5A10B6">
        <w:rPr>
          <w:rFonts w:ascii="Arial" w:eastAsia="Times New Roman" w:hAnsi="Arial" w:cs="Arial"/>
          <w:sz w:val="20"/>
          <w:szCs w:val="20"/>
          <w:lang w:eastAsia="pt-BR"/>
        </w:rPr>
        <w:t xml:space="preserve">De acordo com o art. 49 da LC federal n. 123/2006, não se aplica o tratamento diferenciado para ME/EPP de que trata o art. 48 quando: a) </w:t>
      </w:r>
      <w:r w:rsidRPr="005A10B6">
        <w:rPr>
          <w:rFonts w:ascii="Arial" w:eastAsia="Times New Roman" w:hAnsi="Arial" w:cs="Arial"/>
          <w:i/>
          <w:iCs/>
          <w:sz w:val="20"/>
          <w:szCs w:val="20"/>
          <w:lang w:eastAsia="pt-BR"/>
        </w:rPr>
        <w:t>“não houver um mínimo de 3 (três) fornecedores competitivos enquadrados como microempresas ou empresas de pequeno porte sediados local ou regionalmente e capazes de cumprir as exigências estabelecidas no instrumento convocatório</w:t>
      </w:r>
      <w:r w:rsidRPr="005A10B6">
        <w:rPr>
          <w:rFonts w:ascii="Arial" w:eastAsia="Times New Roman" w:hAnsi="Arial" w:cs="Arial"/>
          <w:sz w:val="20"/>
          <w:szCs w:val="20"/>
          <w:lang w:eastAsia="pt-BR"/>
        </w:rPr>
        <w:t>”; b) “</w:t>
      </w:r>
      <w:r w:rsidRPr="005A10B6">
        <w:rPr>
          <w:rFonts w:ascii="Arial" w:eastAsia="Times New Roman" w:hAnsi="Arial" w:cs="Arial"/>
          <w:i/>
          <w:iCs/>
          <w:sz w:val="20"/>
          <w:szCs w:val="20"/>
          <w:lang w:eastAsia="pt-BR"/>
        </w:rPr>
        <w:t>o tratamento diferenciado e simplificado para as microempresas e empresas de pequeno porte não for vantajoso para a administração pública ou representar prejuízo ao conjunto ou complexo do objeto a ser contratado”</w:t>
      </w:r>
      <w:r w:rsidRPr="005A10B6">
        <w:rPr>
          <w:rFonts w:ascii="Arial" w:eastAsia="Times New Roman" w:hAnsi="Arial" w:cs="Arial"/>
          <w:sz w:val="20"/>
          <w:szCs w:val="20"/>
          <w:lang w:eastAsia="pt-BR"/>
        </w:rPr>
        <w:t>;</w:t>
      </w:r>
    </w:p>
    <w:p w:rsidR="00CA7D8E" w:rsidRPr="005A10B6" w:rsidRDefault="00CA7D8E" w:rsidP="00CA7D8E">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r w:rsidRPr="005A10B6">
        <w:rPr>
          <w:rFonts w:ascii="Arial" w:eastAsia="Times New Roman" w:hAnsi="Arial" w:cs="Arial"/>
          <w:sz w:val="20"/>
          <w:szCs w:val="20"/>
          <w:lang w:eastAsia="pt-BR"/>
        </w:rPr>
        <w:t>Qualquer seja a hipótese de não aplicação do tratamento diferenciado deverá ser devidamente justificada.</w:t>
      </w:r>
    </w:p>
    <w:p w:rsidR="00CA7D8E" w:rsidRDefault="00CA7D8E" w:rsidP="00CA7D8E">
      <w:pPr>
        <w:spacing w:after="120" w:line="240" w:lineRule="auto"/>
        <w:jc w:val="both"/>
        <w:rPr>
          <w:rFonts w:ascii="Arial" w:hAnsi="Arial" w:cs="Arial"/>
          <w:b/>
          <w:bCs/>
          <w:sz w:val="20"/>
          <w:szCs w:val="20"/>
        </w:rPr>
      </w:pPr>
    </w:p>
    <w:p w:rsidR="00CA7D8E" w:rsidRPr="007C77ED" w:rsidRDefault="00CA7D8E" w:rsidP="00CA7D8E">
      <w:pPr>
        <w:spacing w:after="120" w:line="240" w:lineRule="auto"/>
        <w:jc w:val="both"/>
        <w:rPr>
          <w:rFonts w:ascii="Arial" w:hAnsi="Arial" w:cs="Arial"/>
          <w:b/>
          <w:sz w:val="20"/>
          <w:szCs w:val="20"/>
        </w:rPr>
      </w:pPr>
      <w:r w:rsidRPr="007C77ED">
        <w:rPr>
          <w:rFonts w:ascii="Arial" w:hAnsi="Arial" w:cs="Arial"/>
          <w:b/>
          <w:sz w:val="20"/>
          <w:szCs w:val="20"/>
        </w:rPr>
        <w:t>8. MODELO DE GESTÃO DO CONTRATO</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b/>
          <w:sz w:val="20"/>
          <w:szCs w:val="20"/>
        </w:rPr>
      </w:pPr>
      <w:r w:rsidRPr="007C77ED">
        <w:rPr>
          <w:rFonts w:ascii="Arial" w:hAnsi="Arial" w:cs="Arial"/>
          <w:b/>
          <w:sz w:val="20"/>
          <w:szCs w:val="20"/>
        </w:rPr>
        <w:t>Orientações práticas:</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bCs/>
          <w:sz w:val="20"/>
          <w:szCs w:val="20"/>
        </w:rPr>
      </w:pPr>
      <w:r w:rsidRPr="007C77ED">
        <w:rPr>
          <w:rFonts w:ascii="Arial" w:hAnsi="Arial" w:cs="Arial"/>
          <w:bCs/>
          <w:sz w:val="20"/>
          <w:szCs w:val="20"/>
        </w:rPr>
        <w:t>O art. 10, I, alínea ‘b’, do Decreto n. 15.524/20 exige que o termo de referência defina o modelo de gestão do contrato, com a descrição dos procedimentos de execução do objeto e fiscalização e gerenciamento do contrato ou da ata de registro de preços pelo órgão requisitante.</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bCs/>
          <w:sz w:val="20"/>
          <w:szCs w:val="20"/>
        </w:rPr>
        <w:t xml:space="preserve">Portanto, nessa oportunidade, deverão ser definidas </w:t>
      </w:r>
      <w:r w:rsidRPr="007C77ED">
        <w:rPr>
          <w:rFonts w:ascii="Arial" w:hAnsi="Arial" w:cs="Arial"/>
          <w:sz w:val="20"/>
          <w:szCs w:val="20"/>
        </w:rPr>
        <w:t>as atribuições do fiscal/comissão de fiscalização do contrato e do gestor/comissão de gestão do contrato, de acordo com as regras estabelecidas pelo Decreto Estadual nº 15.530, de 8 de outubro de 2020.</w:t>
      </w:r>
    </w:p>
    <w:p w:rsidR="00CA7D8E" w:rsidRPr="007C77ED" w:rsidRDefault="00CA7D8E" w:rsidP="00CA7D8E">
      <w:pPr>
        <w:spacing w:after="0" w:line="240" w:lineRule="auto"/>
        <w:jc w:val="both"/>
        <w:rPr>
          <w:rFonts w:ascii="Arial" w:eastAsia="Times New Roman" w:hAnsi="Arial" w:cs="Arial"/>
          <w:b/>
          <w:sz w:val="20"/>
          <w:szCs w:val="20"/>
          <w:lang w:eastAsia="pt-BR"/>
        </w:rPr>
      </w:pPr>
    </w:p>
    <w:p w:rsidR="00CA7D8E" w:rsidRPr="007C77ED" w:rsidRDefault="00CA7D8E" w:rsidP="00CA7D8E">
      <w:pPr>
        <w:spacing w:after="0" w:line="240" w:lineRule="auto"/>
        <w:jc w:val="both"/>
        <w:rPr>
          <w:rFonts w:ascii="Arial" w:eastAsia="Times New Roman" w:hAnsi="Arial" w:cs="Arial"/>
          <w:sz w:val="20"/>
          <w:szCs w:val="20"/>
          <w:lang w:eastAsia="pt-BR"/>
        </w:rPr>
      </w:pPr>
      <w:r w:rsidRPr="007C77ED">
        <w:rPr>
          <w:rFonts w:ascii="Arial" w:eastAsia="Times New Roman" w:hAnsi="Arial" w:cs="Arial"/>
          <w:b/>
          <w:sz w:val="20"/>
          <w:szCs w:val="20"/>
          <w:lang w:eastAsia="pt-BR"/>
        </w:rPr>
        <w:t>8.1.</w:t>
      </w:r>
      <w:r w:rsidRPr="007C77ED">
        <w:rPr>
          <w:rFonts w:ascii="Arial" w:eastAsia="Times New Roman" w:hAnsi="Arial" w:cs="Arial"/>
          <w:sz w:val="20"/>
          <w:szCs w:val="20"/>
          <w:lang w:eastAsia="pt-BR"/>
        </w:rPr>
        <w:t xml:space="preserve"> Deverá ser designado servidor ou comissão responsável pela gestão do contrato e acompanhamento e fiscalização da entrega dos bens, anotando em registro próprio todas as ocorrências relacionadas com a execução e determinando o que for necessário à regularização de falhas ou defeitos observados.</w:t>
      </w:r>
    </w:p>
    <w:p w:rsidR="00CA7D8E" w:rsidRPr="007C77ED" w:rsidRDefault="00CA7D8E" w:rsidP="00CA7D8E">
      <w:pPr>
        <w:spacing w:after="0" w:line="240" w:lineRule="auto"/>
        <w:jc w:val="both"/>
        <w:rPr>
          <w:rFonts w:ascii="Arial" w:eastAsia="Times New Roman" w:hAnsi="Arial" w:cs="Arial"/>
          <w:sz w:val="20"/>
          <w:szCs w:val="20"/>
          <w:lang w:eastAsia="pt-BR"/>
        </w:rPr>
      </w:pPr>
    </w:p>
    <w:p w:rsidR="00CA7D8E" w:rsidRPr="007C77ED" w:rsidRDefault="00CA7D8E" w:rsidP="00CA7D8E">
      <w:pPr>
        <w:spacing w:after="0" w:line="240" w:lineRule="auto"/>
        <w:jc w:val="both"/>
        <w:rPr>
          <w:rFonts w:ascii="Arial" w:hAnsi="Arial" w:cs="Arial"/>
          <w:b/>
          <w:sz w:val="20"/>
          <w:szCs w:val="20"/>
        </w:rPr>
      </w:pPr>
      <w:r w:rsidRPr="007C77ED">
        <w:rPr>
          <w:rFonts w:ascii="Arial" w:eastAsia="Times New Roman" w:hAnsi="Arial" w:cs="Arial"/>
          <w:b/>
          <w:sz w:val="20"/>
          <w:szCs w:val="20"/>
          <w:lang w:eastAsia="pt-BR"/>
        </w:rPr>
        <w:t>8.1.2.</w:t>
      </w:r>
      <w:r w:rsidRPr="007C77ED">
        <w:rPr>
          <w:rFonts w:ascii="Arial" w:eastAsia="Times New Roman" w:hAnsi="Arial" w:cs="Arial"/>
          <w:sz w:val="20"/>
          <w:szCs w:val="20"/>
          <w:lang w:eastAsia="pt-BR"/>
        </w:rPr>
        <w:t xml:space="preserve"> O recebimento de bens de valor superior a R$ 176.000,00 (cento e setenta e seis mil reais) será confiado a uma comissão de, no mínimo, 3 (três) membros, designados por ato da contratante.</w:t>
      </w:r>
    </w:p>
    <w:p w:rsidR="00CA7D8E" w:rsidRPr="007C77ED" w:rsidRDefault="00CA7D8E" w:rsidP="00CA7D8E">
      <w:pPr>
        <w:spacing w:after="0" w:line="240" w:lineRule="auto"/>
        <w:jc w:val="both"/>
        <w:rPr>
          <w:rFonts w:ascii="Arial" w:eastAsia="Times New Roman" w:hAnsi="Arial" w:cs="Arial"/>
          <w:sz w:val="20"/>
          <w:szCs w:val="20"/>
          <w:lang w:eastAsia="pt-BR"/>
        </w:rPr>
      </w:pPr>
    </w:p>
    <w:p w:rsidR="00CA7D8E" w:rsidRPr="007C77ED" w:rsidRDefault="00CA7D8E" w:rsidP="00CA7D8E">
      <w:pPr>
        <w:spacing w:after="0" w:line="240" w:lineRule="auto"/>
        <w:jc w:val="both"/>
        <w:rPr>
          <w:rFonts w:ascii="Arial" w:eastAsia="Times New Roman" w:hAnsi="Arial" w:cs="Arial"/>
          <w:sz w:val="20"/>
          <w:szCs w:val="20"/>
          <w:lang w:eastAsia="pt-BR"/>
        </w:rPr>
      </w:pPr>
      <w:r w:rsidRPr="007C77ED">
        <w:rPr>
          <w:rFonts w:ascii="Arial" w:eastAsia="Times New Roman" w:hAnsi="Arial" w:cs="Arial"/>
          <w:b/>
          <w:sz w:val="20"/>
          <w:szCs w:val="20"/>
          <w:lang w:eastAsia="pt-BR"/>
        </w:rPr>
        <w:t>8.2.</w:t>
      </w:r>
      <w:r w:rsidRPr="007C77ED">
        <w:rPr>
          <w:rFonts w:ascii="Arial" w:eastAsia="Times New Roman" w:hAnsi="Arial" w:cs="Arial"/>
          <w:sz w:val="20"/>
          <w:szCs w:val="20"/>
          <w:lang w:eastAsia="pt-BR"/>
        </w:rPr>
        <w:t xml:space="preserve"> 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8.666/93.</w:t>
      </w:r>
    </w:p>
    <w:p w:rsidR="00CA7D8E" w:rsidRPr="007C77ED" w:rsidRDefault="00CA7D8E" w:rsidP="00CA7D8E">
      <w:pPr>
        <w:spacing w:after="0" w:line="240" w:lineRule="auto"/>
        <w:jc w:val="both"/>
        <w:rPr>
          <w:rFonts w:ascii="Arial" w:hAnsi="Arial" w:cs="Arial"/>
          <w:color w:val="000000"/>
          <w:sz w:val="20"/>
          <w:szCs w:val="20"/>
        </w:rPr>
      </w:pPr>
    </w:p>
    <w:p w:rsidR="00CA7D8E" w:rsidRPr="007C77ED" w:rsidRDefault="00CA7D8E" w:rsidP="00CA7D8E">
      <w:pPr>
        <w:spacing w:after="0" w:line="240" w:lineRule="auto"/>
        <w:jc w:val="both"/>
        <w:rPr>
          <w:rFonts w:ascii="Arial" w:eastAsia="Times New Roman" w:hAnsi="Arial" w:cs="Arial"/>
          <w:sz w:val="20"/>
          <w:szCs w:val="20"/>
          <w:lang w:eastAsia="pt-BR"/>
        </w:rPr>
      </w:pPr>
      <w:r w:rsidRPr="007C77ED">
        <w:rPr>
          <w:rFonts w:ascii="Arial" w:eastAsia="Times New Roman" w:hAnsi="Arial" w:cs="Arial"/>
          <w:b/>
          <w:sz w:val="20"/>
          <w:szCs w:val="20"/>
          <w:lang w:eastAsia="pt-BR"/>
        </w:rPr>
        <w:t>8.3.</w:t>
      </w:r>
      <w:r w:rsidRPr="007C77ED">
        <w:rPr>
          <w:rFonts w:ascii="Arial" w:eastAsia="Times New Roman" w:hAnsi="Arial" w:cs="Arial"/>
          <w:sz w:val="20"/>
          <w:szCs w:val="20"/>
          <w:lang w:eastAsia="pt-BR"/>
        </w:rPr>
        <w:t xml:space="preserve"> O servidor ou comissão designada para a gestão e fiscalização do contrato anotará em registro próprio todas as ocorrências relacionadas com a execução deste,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CA7D8E" w:rsidRPr="007C77ED" w:rsidRDefault="00CA7D8E" w:rsidP="00CA7D8E">
      <w:pPr>
        <w:spacing w:after="0" w:line="240" w:lineRule="auto"/>
        <w:jc w:val="both"/>
        <w:rPr>
          <w:rFonts w:ascii="Arial" w:eastAsia="Times New Roman" w:hAnsi="Arial" w:cs="Arial"/>
          <w:sz w:val="20"/>
          <w:szCs w:val="20"/>
          <w:lang w:eastAsia="pt-BR"/>
        </w:rPr>
      </w:pPr>
    </w:p>
    <w:p w:rsidR="00CA7D8E" w:rsidRPr="007C77ED" w:rsidRDefault="00CA7D8E" w:rsidP="00CA7D8E">
      <w:pPr>
        <w:spacing w:after="0" w:line="240" w:lineRule="auto"/>
        <w:jc w:val="both"/>
        <w:rPr>
          <w:rFonts w:ascii="Arial" w:eastAsia="Times New Roman" w:hAnsi="Arial" w:cs="Arial"/>
          <w:sz w:val="20"/>
          <w:szCs w:val="20"/>
          <w:lang w:eastAsia="pt-BR"/>
        </w:rPr>
      </w:pPr>
      <w:r w:rsidRPr="007C77ED">
        <w:rPr>
          <w:rFonts w:ascii="Arial" w:eastAsia="Times New Roman" w:hAnsi="Arial" w:cs="Arial"/>
          <w:b/>
          <w:sz w:val="20"/>
          <w:szCs w:val="20"/>
          <w:lang w:eastAsia="pt-BR"/>
        </w:rPr>
        <w:lastRenderedPageBreak/>
        <w:t>8.4</w:t>
      </w:r>
      <w:r w:rsidRPr="007C77ED">
        <w:rPr>
          <w:rFonts w:ascii="Arial" w:eastAsia="Times New Roman" w:hAnsi="Arial" w:cs="Arial"/>
          <w:sz w:val="20"/>
          <w:szCs w:val="20"/>
          <w:lang w:eastAsia="pt-BR"/>
        </w:rPr>
        <w:t>. A contratada permitirá e oferecerá condições para a mais ampla e completa fiscalização, durante a vigência do contrato, fornecendo informações, propiciando o acesso à documentação pertinente e atendendo às observações e exigências apresentadas pela fiscalização.</w:t>
      </w:r>
    </w:p>
    <w:p w:rsidR="00CA7D8E" w:rsidRPr="007C77ED" w:rsidRDefault="00CA7D8E" w:rsidP="00CA7D8E">
      <w:pPr>
        <w:spacing w:after="0" w:line="240" w:lineRule="auto"/>
        <w:jc w:val="both"/>
        <w:rPr>
          <w:rFonts w:ascii="Arial" w:eastAsia="Times New Roman" w:hAnsi="Arial" w:cs="Arial"/>
          <w:sz w:val="20"/>
          <w:szCs w:val="20"/>
          <w:lang w:eastAsia="pt-BR"/>
        </w:rPr>
      </w:pPr>
    </w:p>
    <w:p w:rsidR="00CA7D8E" w:rsidRPr="007C77ED" w:rsidRDefault="00CA7D8E" w:rsidP="00CA7D8E">
      <w:pPr>
        <w:spacing w:after="0" w:line="240" w:lineRule="auto"/>
        <w:jc w:val="both"/>
        <w:rPr>
          <w:rFonts w:ascii="Arial" w:eastAsia="Times New Roman" w:hAnsi="Arial" w:cs="Arial"/>
          <w:sz w:val="20"/>
          <w:szCs w:val="20"/>
          <w:lang w:eastAsia="pt-BR"/>
        </w:rPr>
      </w:pPr>
      <w:r w:rsidRPr="007C77ED">
        <w:rPr>
          <w:rFonts w:ascii="Arial" w:eastAsia="Times New Roman" w:hAnsi="Arial" w:cs="Arial"/>
          <w:b/>
          <w:sz w:val="20"/>
          <w:szCs w:val="20"/>
          <w:lang w:eastAsia="pt-BR"/>
        </w:rPr>
        <w:t>8.5.</w:t>
      </w:r>
      <w:r w:rsidRPr="007C77ED">
        <w:rPr>
          <w:rFonts w:ascii="Arial" w:eastAsia="Times New Roman" w:hAnsi="Arial" w:cs="Arial"/>
          <w:sz w:val="20"/>
          <w:szCs w:val="20"/>
          <w:lang w:eastAsia="pt-BR"/>
        </w:rPr>
        <w:t xml:space="preserve"> A Contratada se obriga a permitir que a auditoria interna da Contratante e/ou auditoria externa por ela indicada tenha acesso a todos os documentos que digam respeito ao Contrato.</w:t>
      </w:r>
    </w:p>
    <w:p w:rsidR="00CA7D8E" w:rsidRPr="007C77ED" w:rsidRDefault="00CA7D8E" w:rsidP="00CA7D8E">
      <w:pPr>
        <w:spacing w:after="0" w:line="240" w:lineRule="auto"/>
        <w:jc w:val="both"/>
        <w:rPr>
          <w:rFonts w:ascii="Arial" w:eastAsia="Times New Roman" w:hAnsi="Arial" w:cs="Arial"/>
          <w:sz w:val="20"/>
          <w:szCs w:val="20"/>
          <w:lang w:eastAsia="pt-BR"/>
        </w:rPr>
      </w:pPr>
    </w:p>
    <w:p w:rsidR="00CA7D8E" w:rsidRPr="007C77ED" w:rsidRDefault="00CA7D8E" w:rsidP="00CA7D8E">
      <w:pPr>
        <w:spacing w:after="0" w:line="240" w:lineRule="auto"/>
        <w:jc w:val="both"/>
        <w:rPr>
          <w:rFonts w:ascii="Arial" w:eastAsia="Times New Roman" w:hAnsi="Arial" w:cs="Arial"/>
          <w:sz w:val="20"/>
          <w:szCs w:val="20"/>
          <w:lang w:eastAsia="pt-BR"/>
        </w:rPr>
      </w:pPr>
      <w:r w:rsidRPr="007C77ED">
        <w:rPr>
          <w:rFonts w:ascii="Arial" w:eastAsia="Times New Roman" w:hAnsi="Arial" w:cs="Arial"/>
          <w:b/>
          <w:sz w:val="20"/>
          <w:szCs w:val="20"/>
          <w:lang w:eastAsia="pt-BR"/>
        </w:rPr>
        <w:t>8.6.</w:t>
      </w:r>
      <w:r w:rsidRPr="007C77ED">
        <w:rPr>
          <w:rFonts w:ascii="Arial" w:eastAsia="Times New Roman" w:hAnsi="Arial" w:cs="Arial"/>
          <w:sz w:val="20"/>
          <w:szCs w:val="20"/>
          <w:lang w:eastAsia="pt-BR"/>
        </w:rPr>
        <w:t xml:space="preserve"> A Contratante realizará avaliação da qualidade do atendimento, dos resultados concretos dos esforços sugeridos pela Contratada e dos benefícios decorrentes da política de preços por ela praticada.</w:t>
      </w:r>
    </w:p>
    <w:p w:rsidR="00CA7D8E" w:rsidRPr="007C77ED" w:rsidRDefault="00CA7D8E" w:rsidP="00CA7D8E">
      <w:pPr>
        <w:spacing w:after="0" w:line="240" w:lineRule="auto"/>
        <w:jc w:val="both"/>
        <w:rPr>
          <w:rFonts w:ascii="Arial" w:eastAsia="Times New Roman" w:hAnsi="Arial" w:cs="Arial"/>
          <w:sz w:val="20"/>
          <w:szCs w:val="20"/>
          <w:lang w:eastAsia="pt-BR"/>
        </w:rPr>
      </w:pPr>
    </w:p>
    <w:p w:rsidR="00CA7D8E" w:rsidRPr="007C77ED" w:rsidRDefault="00CA7D8E" w:rsidP="00CA7D8E">
      <w:pPr>
        <w:spacing w:after="0" w:line="240" w:lineRule="auto"/>
        <w:jc w:val="both"/>
        <w:rPr>
          <w:rFonts w:ascii="Arial" w:eastAsia="Times New Roman" w:hAnsi="Arial" w:cs="Arial"/>
          <w:sz w:val="20"/>
          <w:szCs w:val="20"/>
          <w:lang w:eastAsia="pt-BR"/>
        </w:rPr>
      </w:pPr>
      <w:r w:rsidRPr="007C77ED">
        <w:rPr>
          <w:rFonts w:ascii="Arial" w:eastAsia="Times New Roman" w:hAnsi="Arial" w:cs="Arial"/>
          <w:b/>
          <w:sz w:val="20"/>
          <w:szCs w:val="20"/>
          <w:lang w:eastAsia="pt-BR"/>
        </w:rPr>
        <w:t>8.7.</w:t>
      </w:r>
      <w:r w:rsidRPr="007C77ED">
        <w:rPr>
          <w:rFonts w:ascii="Arial" w:eastAsia="Times New Roman" w:hAnsi="Arial" w:cs="Arial"/>
          <w:sz w:val="20"/>
          <w:szCs w:val="20"/>
          <w:lang w:eastAsia="pt-BR"/>
        </w:rPr>
        <w:t xml:space="preserve"> A avaliação será considerada pela Contratante para aquilatar a necessidade de solicitar à Contratada que melhore a qualidade dos produtos ofertados, para decidir sobre a conveniência de renovar ou, a qualquer tempo, rescindir o Contrato ou, ainda, para fornecer, quando solicitado pela Contratada, declarações sobre seu desempenho, a fim de servir de prova de capacitação técnica em licitações públicas.</w:t>
      </w:r>
    </w:p>
    <w:p w:rsidR="00CA7D8E" w:rsidRPr="007C77ED" w:rsidRDefault="00CA7D8E" w:rsidP="00CA7D8E">
      <w:pPr>
        <w:spacing w:after="0" w:line="240" w:lineRule="auto"/>
        <w:jc w:val="both"/>
        <w:rPr>
          <w:rFonts w:ascii="Arial" w:eastAsia="Times New Roman" w:hAnsi="Arial" w:cs="Arial"/>
          <w:sz w:val="20"/>
          <w:szCs w:val="20"/>
          <w:lang w:eastAsia="pt-BR"/>
        </w:rPr>
      </w:pPr>
    </w:p>
    <w:p w:rsidR="00CA7D8E" w:rsidRPr="007C77ED" w:rsidRDefault="00CA7D8E" w:rsidP="00CA7D8E">
      <w:pPr>
        <w:spacing w:after="0" w:line="240" w:lineRule="auto"/>
        <w:rPr>
          <w:rFonts w:ascii="Arial" w:hAnsi="Arial" w:cs="Arial"/>
          <w:sz w:val="20"/>
          <w:szCs w:val="20"/>
        </w:rPr>
      </w:pPr>
      <w:r w:rsidRPr="007C77ED">
        <w:rPr>
          <w:rFonts w:ascii="Arial" w:hAnsi="Arial" w:cs="Arial"/>
          <w:b/>
          <w:color w:val="000000"/>
          <w:sz w:val="20"/>
          <w:szCs w:val="20"/>
        </w:rPr>
        <w:t>9. DOTAÇÃO ORÇAMENTÁRIA</w:t>
      </w:r>
      <w:r w:rsidRPr="007C77ED">
        <w:rPr>
          <w:rFonts w:ascii="Arial" w:hAnsi="Arial" w:cs="Arial"/>
          <w:color w:val="000000"/>
          <w:sz w:val="20"/>
          <w:szCs w:val="20"/>
        </w:rPr>
        <w:t xml:space="preserve">    </w:t>
      </w:r>
      <w:r w:rsidRPr="007C77ED">
        <w:rPr>
          <w:rFonts w:ascii="Arial" w:hAnsi="Arial" w:cs="Arial"/>
          <w:sz w:val="20"/>
          <w:szCs w:val="20"/>
        </w:rPr>
        <w:br/>
        <w:t xml:space="preserve">       </w:t>
      </w:r>
    </w:p>
    <w:p w:rsidR="00CA7D8E" w:rsidRPr="007C77ED" w:rsidRDefault="00CA7D8E" w:rsidP="00CA7D8E">
      <w:pPr>
        <w:spacing w:after="0" w:line="240" w:lineRule="auto"/>
        <w:jc w:val="both"/>
        <w:rPr>
          <w:rFonts w:ascii="Arial" w:hAnsi="Arial" w:cs="Arial"/>
          <w:color w:val="FF0000"/>
          <w:sz w:val="20"/>
          <w:szCs w:val="20"/>
        </w:rPr>
      </w:pPr>
      <w:r w:rsidRPr="007C77ED">
        <w:rPr>
          <w:rFonts w:ascii="Arial" w:hAnsi="Arial" w:cs="Arial"/>
          <w:b/>
          <w:color w:val="FF0000"/>
          <w:sz w:val="20"/>
          <w:szCs w:val="20"/>
        </w:rPr>
        <w:t>9.1.</w:t>
      </w:r>
      <w:r w:rsidRPr="007C77ED">
        <w:rPr>
          <w:rFonts w:ascii="Arial" w:hAnsi="Arial" w:cs="Arial"/>
          <w:color w:val="FF0000"/>
          <w:sz w:val="20"/>
          <w:szCs w:val="20"/>
        </w:rPr>
        <w:t xml:space="preserve">  As despesas decorrentes da contratação da presente licitação correrão à </w:t>
      </w:r>
      <w:r w:rsidRPr="007C77ED">
        <w:rPr>
          <w:rFonts w:ascii="Arial" w:hAnsi="Arial" w:cs="Arial"/>
          <w:color w:val="FF0000"/>
          <w:sz w:val="20"/>
          <w:szCs w:val="20"/>
          <w:highlight w:val="yellow"/>
        </w:rPr>
        <w:t>conta do ............, natureza da despesa n. ............., item da despesa n. ............, fonte n. ...............</w:t>
      </w:r>
    </w:p>
    <w:p w:rsidR="00CA7D8E" w:rsidRPr="007C77ED" w:rsidRDefault="00CA7D8E" w:rsidP="00CA7D8E">
      <w:pPr>
        <w:spacing w:after="0" w:line="240" w:lineRule="auto"/>
        <w:jc w:val="both"/>
        <w:rPr>
          <w:rFonts w:ascii="Arial" w:hAnsi="Arial" w:cs="Arial"/>
          <w:color w:val="FF0000"/>
          <w:sz w:val="20"/>
          <w:szCs w:val="20"/>
        </w:rPr>
      </w:pPr>
    </w:p>
    <w:p w:rsidR="00CA7D8E" w:rsidRPr="007C77ED" w:rsidRDefault="00CA7D8E" w:rsidP="00CA7D8E">
      <w:pPr>
        <w:spacing w:after="0" w:line="240" w:lineRule="auto"/>
        <w:jc w:val="both"/>
        <w:rPr>
          <w:rFonts w:ascii="Arial" w:hAnsi="Arial" w:cs="Arial"/>
          <w:color w:val="FF0000"/>
          <w:sz w:val="20"/>
          <w:szCs w:val="20"/>
        </w:rPr>
      </w:pPr>
      <w:r w:rsidRPr="007C77ED">
        <w:rPr>
          <w:rFonts w:ascii="Arial" w:hAnsi="Arial" w:cs="Arial"/>
          <w:b/>
          <w:color w:val="FF0000"/>
          <w:sz w:val="20"/>
          <w:szCs w:val="20"/>
        </w:rPr>
        <w:t>9.2.</w:t>
      </w:r>
      <w:r w:rsidRPr="007C77ED">
        <w:rPr>
          <w:rFonts w:ascii="Arial" w:hAnsi="Arial" w:cs="Arial"/>
          <w:color w:val="FF0000"/>
          <w:sz w:val="20"/>
          <w:szCs w:val="20"/>
        </w:rPr>
        <w:t xml:space="preserve"> A Contratante reserva-se no direito de, a seu critério, utilizar ou não a totalidade da reserva orçamentária prevista.</w:t>
      </w:r>
    </w:p>
    <w:p w:rsidR="00CA7D8E" w:rsidRPr="007C77ED" w:rsidRDefault="00CA7D8E" w:rsidP="00CA7D8E">
      <w:pPr>
        <w:spacing w:after="0" w:line="240" w:lineRule="auto"/>
        <w:jc w:val="both"/>
        <w:rPr>
          <w:rFonts w:ascii="Arial" w:hAnsi="Arial" w:cs="Arial"/>
          <w:color w:val="FF0000"/>
          <w:sz w:val="20"/>
          <w:szCs w:val="20"/>
        </w:rPr>
      </w:pPr>
    </w:p>
    <w:p w:rsidR="00CA7D8E" w:rsidRPr="007C77ED" w:rsidRDefault="00CA7D8E" w:rsidP="00CA7D8E">
      <w:pPr>
        <w:spacing w:after="0" w:line="240" w:lineRule="auto"/>
        <w:jc w:val="both"/>
        <w:rPr>
          <w:rFonts w:ascii="Arial" w:hAnsi="Arial" w:cs="Arial"/>
          <w:color w:val="FF0000"/>
          <w:sz w:val="20"/>
          <w:szCs w:val="20"/>
        </w:rPr>
      </w:pPr>
      <w:r w:rsidRPr="007C77ED">
        <w:rPr>
          <w:rFonts w:ascii="Arial" w:hAnsi="Arial" w:cs="Arial"/>
          <w:b/>
          <w:color w:val="FF0000"/>
          <w:sz w:val="20"/>
          <w:szCs w:val="20"/>
        </w:rPr>
        <w:t>9.3.</w:t>
      </w:r>
      <w:r w:rsidRPr="007C77ED">
        <w:rPr>
          <w:rFonts w:ascii="Arial" w:hAnsi="Arial" w:cs="Arial"/>
          <w:color w:val="FF0000"/>
          <w:sz w:val="20"/>
          <w:szCs w:val="20"/>
        </w:rPr>
        <w:t xml:space="preserve"> As despesas efetuadas no próximo exercício correrão à conta do respectivo orçamento, dentro da mesma programação financeira.</w:t>
      </w:r>
    </w:p>
    <w:p w:rsidR="00CA7D8E" w:rsidRPr="007C77ED" w:rsidRDefault="00CA7D8E" w:rsidP="00CA7D8E">
      <w:pPr>
        <w:spacing w:after="0" w:line="240" w:lineRule="auto"/>
        <w:jc w:val="both"/>
        <w:rPr>
          <w:rFonts w:ascii="Arial" w:hAnsi="Arial" w:cs="Arial"/>
          <w:sz w:val="20"/>
          <w:szCs w:val="20"/>
        </w:rPr>
      </w:pPr>
    </w:p>
    <w:p w:rsidR="00CA7D8E" w:rsidRPr="007C77ED" w:rsidRDefault="00CA7D8E" w:rsidP="00CA7D8E">
      <w:pPr>
        <w:spacing w:after="0" w:line="240" w:lineRule="auto"/>
        <w:jc w:val="both"/>
        <w:rPr>
          <w:rFonts w:ascii="Arial" w:hAnsi="Arial" w:cs="Arial"/>
          <w:b/>
          <w:color w:val="FF0000"/>
          <w:sz w:val="20"/>
          <w:szCs w:val="20"/>
        </w:rPr>
      </w:pPr>
      <w:r w:rsidRPr="007C77ED">
        <w:rPr>
          <w:rFonts w:ascii="Arial" w:hAnsi="Arial" w:cs="Arial"/>
          <w:b/>
          <w:color w:val="FF0000"/>
          <w:sz w:val="20"/>
          <w:szCs w:val="20"/>
          <w:highlight w:val="yellow"/>
        </w:rPr>
        <w:t>OU</w:t>
      </w:r>
    </w:p>
    <w:p w:rsidR="00CA7D8E" w:rsidRPr="007C77ED" w:rsidRDefault="00CA7D8E" w:rsidP="00CA7D8E">
      <w:pPr>
        <w:spacing w:after="0" w:line="240" w:lineRule="auto"/>
        <w:jc w:val="both"/>
        <w:rPr>
          <w:rFonts w:ascii="Arial" w:hAnsi="Arial" w:cs="Arial"/>
          <w:sz w:val="20"/>
          <w:szCs w:val="20"/>
        </w:rPr>
      </w:pPr>
    </w:p>
    <w:p w:rsidR="00CA7D8E" w:rsidRPr="007C77ED" w:rsidRDefault="00CA7D8E" w:rsidP="00CA7D8E">
      <w:pPr>
        <w:spacing w:after="0" w:line="240" w:lineRule="auto"/>
        <w:jc w:val="both"/>
        <w:rPr>
          <w:rFonts w:ascii="Arial" w:hAnsi="Arial" w:cs="Arial"/>
          <w:color w:val="000000" w:themeColor="text1"/>
          <w:sz w:val="20"/>
          <w:szCs w:val="20"/>
        </w:rPr>
      </w:pPr>
      <w:r w:rsidRPr="007C77ED">
        <w:rPr>
          <w:rFonts w:ascii="Arial" w:hAnsi="Arial" w:cs="Arial"/>
          <w:b/>
          <w:color w:val="000000" w:themeColor="text1"/>
          <w:sz w:val="20"/>
          <w:szCs w:val="20"/>
          <w:highlight w:val="cyan"/>
        </w:rPr>
        <w:t>9.1.</w:t>
      </w:r>
      <w:r w:rsidRPr="007C77ED">
        <w:rPr>
          <w:rFonts w:ascii="Arial" w:hAnsi="Arial" w:cs="Arial"/>
          <w:color w:val="000000" w:themeColor="text1"/>
          <w:sz w:val="20"/>
          <w:szCs w:val="20"/>
          <w:highlight w:val="cyan"/>
        </w:rPr>
        <w:t xml:space="preserve"> Por se tratar de sistema de registro de preço a dotação orçamentária será informada na utilização da ata, conforme disposto no artigo 18 do Decreto Estadual nº 15.454, de 10 de junho de 2020.</w:t>
      </w:r>
    </w:p>
    <w:p w:rsidR="00CA7D8E" w:rsidRPr="007C77ED" w:rsidRDefault="00CA7D8E" w:rsidP="00CA7D8E">
      <w:pPr>
        <w:spacing w:after="200" w:line="276" w:lineRule="auto"/>
      </w:pPr>
    </w:p>
    <w:p w:rsidR="00CA7D8E" w:rsidRPr="007C77ED" w:rsidRDefault="00CA7D8E" w:rsidP="00CA7D8E">
      <w:pPr>
        <w:spacing w:after="120" w:line="240" w:lineRule="auto"/>
        <w:jc w:val="both"/>
        <w:rPr>
          <w:rFonts w:ascii="Arial" w:hAnsi="Arial" w:cs="Arial"/>
          <w:b/>
          <w:sz w:val="20"/>
          <w:szCs w:val="20"/>
        </w:rPr>
      </w:pPr>
      <w:r w:rsidRPr="007C77ED">
        <w:rPr>
          <w:rFonts w:ascii="Arial" w:hAnsi="Arial" w:cs="Arial"/>
          <w:b/>
          <w:sz w:val="20"/>
          <w:szCs w:val="20"/>
        </w:rPr>
        <w:t>10. INFORMAÇÕES COMPLEMENTARES</w:t>
      </w:r>
    </w:p>
    <w:p w:rsidR="00CA7D8E" w:rsidRPr="007C77ED" w:rsidRDefault="00CA7D8E" w:rsidP="00CA7D8E">
      <w:pPr>
        <w:spacing w:after="0" w:line="240" w:lineRule="auto"/>
        <w:jc w:val="both"/>
        <w:rPr>
          <w:rFonts w:ascii="Arial" w:eastAsia="Times New Roman" w:hAnsi="Arial" w:cs="Arial"/>
          <w:sz w:val="20"/>
          <w:szCs w:val="20"/>
          <w:lang w:eastAsia="pt-BR"/>
        </w:rPr>
      </w:pPr>
    </w:p>
    <w:p w:rsidR="00CA7D8E" w:rsidRPr="007C77ED" w:rsidRDefault="00CA7D8E" w:rsidP="00CA7D8E">
      <w:pPr>
        <w:spacing w:after="0" w:line="240" w:lineRule="auto"/>
        <w:jc w:val="both"/>
        <w:rPr>
          <w:rFonts w:ascii="Arial" w:hAnsi="Arial" w:cs="Arial"/>
          <w:b/>
          <w:color w:val="000000"/>
          <w:sz w:val="20"/>
          <w:szCs w:val="20"/>
        </w:rPr>
      </w:pPr>
      <w:r w:rsidRPr="007C77ED">
        <w:rPr>
          <w:rFonts w:ascii="Arial" w:hAnsi="Arial" w:cs="Arial"/>
          <w:b/>
          <w:color w:val="000000"/>
          <w:sz w:val="20"/>
          <w:szCs w:val="20"/>
        </w:rPr>
        <w:t xml:space="preserve">10.1. DOS DOCUMENTOS DA PROPOSTA </w:t>
      </w:r>
    </w:p>
    <w:p w:rsidR="00CA7D8E" w:rsidRPr="007C77ED" w:rsidRDefault="00CA7D8E" w:rsidP="00CA7D8E">
      <w:pPr>
        <w:spacing w:after="0" w:line="240" w:lineRule="auto"/>
        <w:jc w:val="both"/>
        <w:rPr>
          <w:rFonts w:ascii="Arial" w:hAnsi="Arial" w:cs="Arial"/>
          <w:b/>
          <w:color w:val="000000"/>
          <w:sz w:val="20"/>
          <w:szCs w:val="20"/>
        </w:rPr>
      </w:pP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b/>
          <w:sz w:val="20"/>
          <w:szCs w:val="20"/>
        </w:rPr>
      </w:pPr>
      <w:r w:rsidRPr="007C77ED">
        <w:rPr>
          <w:rFonts w:ascii="Arial" w:hAnsi="Arial" w:cs="Arial"/>
          <w:b/>
          <w:sz w:val="20"/>
          <w:szCs w:val="20"/>
        </w:rPr>
        <w:t>Orientações práticas:</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bCs/>
          <w:sz w:val="20"/>
          <w:szCs w:val="20"/>
        </w:rPr>
      </w:pPr>
      <w:r w:rsidRPr="007C77ED">
        <w:rPr>
          <w:rFonts w:ascii="Arial" w:hAnsi="Arial" w:cs="Arial"/>
          <w:bCs/>
          <w:sz w:val="20"/>
          <w:szCs w:val="20"/>
        </w:rPr>
        <w:t xml:space="preserve">Nesse subitem devem ser incluídas as documentações a serem apresentadas na fase da proposta. </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bCs/>
          <w:sz w:val="20"/>
          <w:szCs w:val="20"/>
        </w:rPr>
      </w:pPr>
      <w:r w:rsidRPr="007C77ED">
        <w:rPr>
          <w:rFonts w:ascii="Arial" w:hAnsi="Arial" w:cs="Arial"/>
          <w:bCs/>
          <w:sz w:val="20"/>
          <w:szCs w:val="20"/>
        </w:rPr>
        <w:t>Na redação abaixo já estão listados os documentos exigidos na legislação para as aquisições de medicamentos.</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sz w:val="20"/>
          <w:szCs w:val="20"/>
        </w:rPr>
      </w:pPr>
      <w:r w:rsidRPr="007C77ED">
        <w:rPr>
          <w:rFonts w:ascii="Arial" w:hAnsi="Arial" w:cs="Arial"/>
          <w:bCs/>
          <w:sz w:val="20"/>
          <w:szCs w:val="20"/>
        </w:rPr>
        <w:t xml:space="preserve">Caso a equipe de planejamento pretenda exigir </w:t>
      </w:r>
      <w:proofErr w:type="gramStart"/>
      <w:r w:rsidRPr="007C77ED">
        <w:rPr>
          <w:rFonts w:ascii="Arial" w:hAnsi="Arial" w:cs="Arial"/>
          <w:bCs/>
          <w:sz w:val="20"/>
          <w:szCs w:val="20"/>
        </w:rPr>
        <w:t>outro(</w:t>
      </w:r>
      <w:proofErr w:type="gramEnd"/>
      <w:r w:rsidRPr="007C77ED">
        <w:rPr>
          <w:rFonts w:ascii="Arial" w:hAnsi="Arial" w:cs="Arial"/>
          <w:bCs/>
          <w:sz w:val="20"/>
          <w:szCs w:val="20"/>
        </w:rPr>
        <w:t>s) documento(s), além daqueles já listados, deverá incluir como subitem, submetendo à análise do órgão jurídico, se for o caso.</w:t>
      </w:r>
    </w:p>
    <w:p w:rsidR="00CA7D8E" w:rsidRPr="007C77ED" w:rsidRDefault="00CA7D8E" w:rsidP="00CA7D8E">
      <w:pPr>
        <w:spacing w:after="0" w:line="240" w:lineRule="auto"/>
        <w:jc w:val="both"/>
        <w:rPr>
          <w:rFonts w:ascii="Arial" w:hAnsi="Arial" w:cs="Arial"/>
          <w:b/>
          <w:color w:val="000000"/>
          <w:sz w:val="20"/>
          <w:szCs w:val="20"/>
        </w:rPr>
      </w:pPr>
    </w:p>
    <w:p w:rsidR="00CA7D8E" w:rsidRPr="007C77ED" w:rsidRDefault="00CA7D8E" w:rsidP="00CA7D8E">
      <w:pPr>
        <w:spacing w:after="0" w:line="240" w:lineRule="auto"/>
        <w:jc w:val="both"/>
        <w:rPr>
          <w:rFonts w:ascii="Arial" w:hAnsi="Arial" w:cs="Arial"/>
          <w:color w:val="000000" w:themeColor="text1"/>
          <w:sz w:val="20"/>
          <w:szCs w:val="20"/>
        </w:rPr>
      </w:pPr>
      <w:r w:rsidRPr="007C77ED">
        <w:rPr>
          <w:rFonts w:ascii="Arial" w:eastAsia="Times New Roman" w:hAnsi="Arial" w:cs="Arial"/>
          <w:b/>
          <w:sz w:val="20"/>
          <w:szCs w:val="20"/>
          <w:lang w:eastAsia="pt-BR"/>
        </w:rPr>
        <w:t>10.1.1</w:t>
      </w:r>
      <w:r w:rsidRPr="007C77ED">
        <w:rPr>
          <w:rFonts w:ascii="Arial" w:eastAsia="Times New Roman" w:hAnsi="Arial" w:cs="Arial"/>
          <w:sz w:val="20"/>
          <w:szCs w:val="20"/>
          <w:lang w:eastAsia="pt-BR"/>
        </w:rPr>
        <w:t>. C</w:t>
      </w:r>
      <w:r w:rsidRPr="007C77ED">
        <w:rPr>
          <w:rFonts w:ascii="Arial" w:hAnsi="Arial" w:cs="Arial"/>
          <w:color w:val="000000" w:themeColor="text1"/>
          <w:sz w:val="20"/>
          <w:szCs w:val="20"/>
        </w:rPr>
        <w:t xml:space="preserve">ópia da tabela de preços disponibilizada pelo site HYPERLINK </w:t>
      </w:r>
      <w:hyperlink r:id="rId7" w:history="1">
        <w:r w:rsidRPr="007C77ED">
          <w:rPr>
            <w:rFonts w:ascii="Arial" w:hAnsi="Arial" w:cs="Arial"/>
            <w:color w:val="0563C1" w:themeColor="hyperlink"/>
            <w:sz w:val="20"/>
            <w:szCs w:val="20"/>
            <w:u w:val="single"/>
          </w:rPr>
          <w:t>http://www.anvisa.gov.br/</w:t>
        </w:r>
      </w:hyperlink>
      <w:r w:rsidRPr="007C77ED">
        <w:rPr>
          <w:rFonts w:ascii="Arial" w:hAnsi="Arial" w:cs="Arial"/>
          <w:color w:val="000000" w:themeColor="text1"/>
          <w:sz w:val="20"/>
          <w:szCs w:val="20"/>
          <w:u w:val="single"/>
        </w:rPr>
        <w:t xml:space="preserve"> </w:t>
      </w:r>
      <w:r w:rsidRPr="007C77ED">
        <w:rPr>
          <w:rFonts w:ascii="Arial" w:hAnsi="Arial" w:cs="Arial"/>
          <w:color w:val="000000" w:themeColor="text1"/>
          <w:sz w:val="20"/>
          <w:szCs w:val="20"/>
        </w:rPr>
        <w:t>, no ícone PREÇOS DE MEDICAMENTOS – PMVG –  CMED - PREÇOS MÁXIMOS DE MEDICAMENTOS POR PRINCÍPIO ATIVO PARA COMPRAS PÚBLICAS, com grifo para destacar o medicamento ofertado. Deve na proposta, declinar corretamente o nome do laboratório e nome comercial do produto; </w:t>
      </w:r>
    </w:p>
    <w:p w:rsidR="00CA7D8E" w:rsidRPr="007C77ED" w:rsidRDefault="00CA7D8E" w:rsidP="00CA7D8E">
      <w:pPr>
        <w:spacing w:after="0" w:line="240" w:lineRule="auto"/>
        <w:jc w:val="both"/>
        <w:rPr>
          <w:rFonts w:ascii="Arial" w:eastAsia="Times New Roman" w:hAnsi="Arial" w:cs="Arial"/>
          <w:b/>
          <w:color w:val="000000" w:themeColor="text1"/>
          <w:sz w:val="20"/>
          <w:szCs w:val="20"/>
          <w:lang w:eastAsia="pt-BR"/>
        </w:rPr>
      </w:pPr>
    </w:p>
    <w:p w:rsidR="00CA7D8E" w:rsidRPr="007C77ED" w:rsidRDefault="00CA7D8E" w:rsidP="00CA7D8E">
      <w:pPr>
        <w:spacing w:after="200" w:line="240" w:lineRule="auto"/>
        <w:jc w:val="both"/>
        <w:rPr>
          <w:rFonts w:ascii="Arial" w:hAnsi="Arial" w:cs="Arial"/>
          <w:color w:val="000000" w:themeColor="text1"/>
          <w:sz w:val="20"/>
          <w:szCs w:val="20"/>
        </w:rPr>
      </w:pPr>
      <w:r w:rsidRPr="007C77ED">
        <w:rPr>
          <w:rFonts w:ascii="Arial" w:eastAsia="Times New Roman" w:hAnsi="Arial" w:cs="Arial"/>
          <w:b/>
          <w:color w:val="000000" w:themeColor="text1"/>
          <w:sz w:val="20"/>
          <w:szCs w:val="20"/>
          <w:lang w:eastAsia="pt-BR"/>
        </w:rPr>
        <w:t>10.1.2.</w:t>
      </w:r>
      <w:r w:rsidRPr="007C77ED">
        <w:rPr>
          <w:rFonts w:ascii="Arial" w:hAnsi="Arial" w:cs="Arial"/>
          <w:color w:val="000000" w:themeColor="text1"/>
          <w:sz w:val="20"/>
          <w:szCs w:val="20"/>
        </w:rPr>
        <w:t xml:space="preserve"> Acaso o medicamento ofertado não conste na tabela CMED, a licitante deverá apresentar Declaração atestando esse fato;</w:t>
      </w:r>
    </w:p>
    <w:p w:rsidR="00CA7D8E" w:rsidRPr="007C77ED" w:rsidRDefault="00CA7D8E" w:rsidP="00CA7D8E">
      <w:pPr>
        <w:spacing w:after="200" w:line="240" w:lineRule="auto"/>
        <w:jc w:val="both"/>
        <w:rPr>
          <w:rFonts w:ascii="Arial" w:hAnsi="Arial" w:cs="Arial"/>
          <w:color w:val="000000" w:themeColor="text1"/>
          <w:sz w:val="20"/>
          <w:szCs w:val="20"/>
        </w:rPr>
      </w:pPr>
      <w:r w:rsidRPr="007C77ED">
        <w:rPr>
          <w:rFonts w:ascii="Arial" w:eastAsia="Times New Roman" w:hAnsi="Arial" w:cs="Arial"/>
          <w:b/>
          <w:color w:val="000000" w:themeColor="text1"/>
          <w:sz w:val="20"/>
          <w:szCs w:val="20"/>
          <w:lang w:eastAsia="pt-BR"/>
        </w:rPr>
        <w:lastRenderedPageBreak/>
        <w:t>10.1.3</w:t>
      </w:r>
      <w:r w:rsidRPr="007C77ED">
        <w:rPr>
          <w:rFonts w:ascii="Arial" w:hAnsi="Arial" w:cs="Arial"/>
          <w:b/>
          <w:color w:val="000000" w:themeColor="text1"/>
          <w:sz w:val="20"/>
          <w:szCs w:val="20"/>
        </w:rPr>
        <w:t>.</w:t>
      </w:r>
      <w:r w:rsidRPr="007C77ED">
        <w:rPr>
          <w:rFonts w:ascii="Arial" w:hAnsi="Arial" w:cs="Arial"/>
          <w:color w:val="000000" w:themeColor="text1"/>
          <w:sz w:val="20"/>
          <w:szCs w:val="20"/>
        </w:rPr>
        <w:t xml:space="preserve"> Bulas completas dos medicamentos ofertados. Quando os medicamentos forem importados e as bulas estiverem em língua estrangeira, estas deverão ser traduzidas para a língua portuguesa por tradutor juramentado;</w:t>
      </w:r>
    </w:p>
    <w:p w:rsidR="00CA7D8E" w:rsidRPr="007C77ED" w:rsidRDefault="00CA7D8E" w:rsidP="00CA7D8E">
      <w:pPr>
        <w:spacing w:after="0" w:line="240" w:lineRule="auto"/>
        <w:jc w:val="both"/>
        <w:rPr>
          <w:rFonts w:ascii="Arial" w:hAnsi="Arial" w:cs="Arial"/>
          <w:color w:val="000000" w:themeColor="text1"/>
          <w:sz w:val="20"/>
          <w:szCs w:val="20"/>
        </w:rPr>
      </w:pPr>
      <w:r w:rsidRPr="007C77ED">
        <w:rPr>
          <w:rFonts w:ascii="Arial" w:eastAsia="Times New Roman" w:hAnsi="Arial" w:cs="Arial"/>
          <w:b/>
          <w:color w:val="000000" w:themeColor="text1"/>
          <w:sz w:val="20"/>
          <w:szCs w:val="20"/>
          <w:lang w:eastAsia="pt-BR"/>
        </w:rPr>
        <w:t>10.1.4</w:t>
      </w:r>
      <w:r w:rsidRPr="007C77ED">
        <w:rPr>
          <w:rFonts w:ascii="Arial" w:eastAsia="Times New Roman" w:hAnsi="Arial" w:cs="Arial"/>
          <w:color w:val="000000" w:themeColor="text1"/>
          <w:sz w:val="20"/>
          <w:szCs w:val="20"/>
          <w:lang w:eastAsia="pt-BR"/>
        </w:rPr>
        <w:t xml:space="preserve">. </w:t>
      </w:r>
      <w:r w:rsidRPr="007C77ED">
        <w:rPr>
          <w:rFonts w:ascii="Arial" w:hAnsi="Arial" w:cs="Arial"/>
          <w:color w:val="000000" w:themeColor="text1"/>
          <w:sz w:val="20"/>
          <w:szCs w:val="20"/>
        </w:rPr>
        <w:t>Cópia do Certificado de Registro ou Cadastro do medicamento licitado,</w:t>
      </w:r>
      <w:r w:rsidRPr="007C77ED">
        <w:rPr>
          <w:rFonts w:ascii="Arial" w:eastAsia="Times New Roman" w:hAnsi="Arial" w:cs="Arial"/>
          <w:color w:val="000000" w:themeColor="text1"/>
          <w:sz w:val="20"/>
          <w:szCs w:val="20"/>
          <w:lang w:eastAsia="pt-BR"/>
        </w:rPr>
        <w:t xml:space="preserve"> ou publicação do registro no Diário Oficial da União, conforme previsto no art. 7º, IX, da Lei 9.782/1999 </w:t>
      </w:r>
      <w:proofErr w:type="spellStart"/>
      <w:r w:rsidRPr="007C77ED">
        <w:rPr>
          <w:rFonts w:ascii="Arial" w:eastAsia="Times New Roman" w:hAnsi="Arial" w:cs="Arial"/>
          <w:color w:val="000000" w:themeColor="text1"/>
          <w:sz w:val="20"/>
          <w:szCs w:val="20"/>
          <w:lang w:eastAsia="pt-BR"/>
        </w:rPr>
        <w:t>c.c</w:t>
      </w:r>
      <w:proofErr w:type="spellEnd"/>
      <w:r w:rsidRPr="007C77ED">
        <w:rPr>
          <w:rFonts w:ascii="Arial" w:eastAsia="Times New Roman" w:hAnsi="Arial" w:cs="Arial"/>
          <w:color w:val="000000" w:themeColor="text1"/>
          <w:sz w:val="20"/>
          <w:szCs w:val="20"/>
          <w:lang w:eastAsia="pt-BR"/>
        </w:rPr>
        <w:t>. art. 12, 16 a 24-B, da Lei nº 6.360/1976 e art. 19-T, I e II, da Lei nº 8.080/1990</w:t>
      </w:r>
      <w:r w:rsidRPr="007C77ED">
        <w:rPr>
          <w:rFonts w:ascii="Arial" w:hAnsi="Arial" w:cs="Arial"/>
          <w:color w:val="000000" w:themeColor="text1"/>
          <w:sz w:val="20"/>
          <w:szCs w:val="20"/>
        </w:rPr>
        <w:t xml:space="preserve">:       </w:t>
      </w:r>
    </w:p>
    <w:p w:rsidR="00CA7D8E" w:rsidRPr="007C77ED" w:rsidRDefault="00CA7D8E" w:rsidP="00CA7D8E">
      <w:pPr>
        <w:spacing w:before="240" w:after="200" w:line="240" w:lineRule="auto"/>
        <w:jc w:val="both"/>
        <w:rPr>
          <w:rFonts w:ascii="Arial" w:hAnsi="Arial" w:cs="Arial"/>
          <w:color w:val="000000" w:themeColor="text1"/>
          <w:sz w:val="20"/>
          <w:szCs w:val="20"/>
        </w:rPr>
      </w:pPr>
      <w:r w:rsidRPr="007C77ED">
        <w:rPr>
          <w:rFonts w:ascii="Arial" w:eastAsia="Times New Roman" w:hAnsi="Arial" w:cs="Arial"/>
          <w:b/>
          <w:color w:val="000000" w:themeColor="text1"/>
          <w:sz w:val="20"/>
          <w:szCs w:val="20"/>
          <w:lang w:eastAsia="pt-BR"/>
        </w:rPr>
        <w:t>10.1.4.1.</w:t>
      </w:r>
      <w:r w:rsidRPr="007C77ED">
        <w:rPr>
          <w:rFonts w:ascii="Arial" w:eastAsia="Times New Roman" w:hAnsi="Arial" w:cs="Arial"/>
          <w:color w:val="000000" w:themeColor="text1"/>
          <w:sz w:val="20"/>
          <w:szCs w:val="20"/>
          <w:lang w:eastAsia="pt-BR"/>
        </w:rPr>
        <w:t xml:space="preserve"> </w:t>
      </w:r>
      <w:r w:rsidRPr="007C77ED">
        <w:rPr>
          <w:rFonts w:ascii="Arial" w:hAnsi="Arial" w:cs="Arial"/>
          <w:color w:val="000000" w:themeColor="text1"/>
          <w:sz w:val="20"/>
          <w:szCs w:val="20"/>
        </w:rPr>
        <w:t xml:space="preserve"> Será permitida a apresentação do protocolo de pedido de revalidação do registro junto à Anvisa, desde que tenha sido requerido em até 06 (seis) meses antes do seu vencimento, nos termos do § 6º do art. 12 da Lei nº 6.360, de 23 de setembro de 1976.</w:t>
      </w:r>
    </w:p>
    <w:p w:rsidR="00CA7D8E" w:rsidRPr="007C77ED" w:rsidRDefault="00CA7D8E" w:rsidP="00CA7D8E">
      <w:pPr>
        <w:spacing w:after="200" w:line="240" w:lineRule="auto"/>
        <w:jc w:val="both"/>
        <w:rPr>
          <w:rFonts w:ascii="Arial" w:hAnsi="Arial" w:cs="Arial"/>
          <w:color w:val="000000" w:themeColor="text1"/>
          <w:sz w:val="20"/>
          <w:szCs w:val="20"/>
        </w:rPr>
      </w:pPr>
      <w:r w:rsidRPr="007C77ED">
        <w:rPr>
          <w:rFonts w:ascii="Arial" w:eastAsia="Times New Roman" w:hAnsi="Arial" w:cs="Arial"/>
          <w:b/>
          <w:color w:val="000000" w:themeColor="text1"/>
          <w:sz w:val="20"/>
          <w:szCs w:val="20"/>
          <w:lang w:eastAsia="pt-BR"/>
        </w:rPr>
        <w:t>10.1.4.2.</w:t>
      </w:r>
      <w:r w:rsidRPr="007C77ED">
        <w:rPr>
          <w:rFonts w:ascii="Arial" w:eastAsia="Times New Roman" w:hAnsi="Arial" w:cs="Arial"/>
          <w:color w:val="000000" w:themeColor="text1"/>
          <w:sz w:val="20"/>
          <w:szCs w:val="20"/>
          <w:lang w:eastAsia="pt-BR"/>
        </w:rPr>
        <w:t xml:space="preserve"> </w:t>
      </w:r>
      <w:r w:rsidRPr="007C77ED">
        <w:rPr>
          <w:rFonts w:ascii="Arial" w:hAnsi="Arial" w:cs="Arial"/>
          <w:color w:val="000000" w:themeColor="text1"/>
          <w:sz w:val="20"/>
          <w:szCs w:val="20"/>
        </w:rPr>
        <w:t xml:space="preserve">Caso a importação de medicamentos seja feita por um terceiro e não pelo detentor do registro do medicamento na ANVISA, é necessária a Declaração do Detentor de Registro - DDR, </w:t>
      </w:r>
      <w:r w:rsidRPr="007C77ED">
        <w:rPr>
          <w:rFonts w:ascii="Arial" w:eastAsia="Times New Roman" w:hAnsi="Arial" w:cs="Arial"/>
          <w:color w:val="000000" w:themeColor="text1"/>
          <w:sz w:val="20"/>
          <w:szCs w:val="20"/>
          <w:lang w:eastAsia="pt-BR"/>
        </w:rPr>
        <w:t>conforme art. 10, do Decreto Federal nº 8.077/2013 e RDC nº 81/2008</w:t>
      </w:r>
      <w:r w:rsidRPr="007C77ED">
        <w:rPr>
          <w:rFonts w:ascii="Arial" w:hAnsi="Arial" w:cs="Arial"/>
          <w:color w:val="000000" w:themeColor="text1"/>
          <w:sz w:val="20"/>
          <w:szCs w:val="20"/>
        </w:rPr>
        <w:t>.</w:t>
      </w:r>
    </w:p>
    <w:p w:rsidR="00CA7D8E" w:rsidRPr="007C77ED" w:rsidRDefault="00CA7D8E" w:rsidP="00CA7D8E">
      <w:pPr>
        <w:spacing w:after="0" w:line="240" w:lineRule="auto"/>
        <w:jc w:val="both"/>
        <w:rPr>
          <w:rFonts w:ascii="Arial" w:hAnsi="Arial" w:cs="Arial"/>
          <w:color w:val="000000"/>
          <w:sz w:val="20"/>
          <w:szCs w:val="20"/>
        </w:rPr>
      </w:pPr>
    </w:p>
    <w:p w:rsidR="00CA7D8E" w:rsidRPr="007C77ED" w:rsidRDefault="00CA7D8E" w:rsidP="00CA7D8E">
      <w:pPr>
        <w:spacing w:after="0" w:line="240" w:lineRule="auto"/>
        <w:jc w:val="both"/>
        <w:rPr>
          <w:rFonts w:ascii="Arial" w:eastAsia="Times New Roman" w:hAnsi="Arial" w:cs="Arial"/>
          <w:b/>
          <w:sz w:val="20"/>
          <w:szCs w:val="20"/>
          <w:lang w:eastAsia="pt-BR"/>
        </w:rPr>
      </w:pPr>
      <w:r w:rsidRPr="007C77ED">
        <w:rPr>
          <w:rFonts w:ascii="Arial" w:hAnsi="Arial" w:cs="Arial"/>
          <w:b/>
          <w:color w:val="000000"/>
          <w:sz w:val="20"/>
          <w:szCs w:val="20"/>
        </w:rPr>
        <w:t>10.2.</w:t>
      </w:r>
      <w:r w:rsidRPr="007C77ED">
        <w:rPr>
          <w:rFonts w:ascii="Arial" w:hAnsi="Arial" w:cs="Arial"/>
          <w:color w:val="000000"/>
          <w:sz w:val="20"/>
          <w:szCs w:val="20"/>
        </w:rPr>
        <w:t xml:space="preserve"> </w:t>
      </w:r>
      <w:r w:rsidRPr="007C77ED">
        <w:rPr>
          <w:rFonts w:ascii="Arial" w:eastAsia="Times New Roman" w:hAnsi="Arial" w:cs="Arial"/>
          <w:b/>
          <w:sz w:val="20"/>
          <w:szCs w:val="20"/>
          <w:lang w:eastAsia="pt-BR"/>
        </w:rPr>
        <w:t>HABILITAÇÃO JURÍDICA, QUALIFICAÇÃO TÉCNICA E ECONÔMICO-FINANCEIRA</w:t>
      </w:r>
    </w:p>
    <w:p w:rsidR="00CA7D8E" w:rsidRPr="007C77ED" w:rsidRDefault="00CA7D8E" w:rsidP="00CA7D8E">
      <w:pPr>
        <w:spacing w:after="0" w:line="240" w:lineRule="auto"/>
        <w:jc w:val="both"/>
        <w:rPr>
          <w:rFonts w:ascii="Arial" w:eastAsia="Times New Roman" w:hAnsi="Arial" w:cs="Arial"/>
          <w:sz w:val="20"/>
          <w:szCs w:val="20"/>
          <w:lang w:eastAsia="pt-BR"/>
        </w:rPr>
      </w:pP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
          <w:sz w:val="20"/>
          <w:szCs w:val="20"/>
        </w:rPr>
      </w:pPr>
      <w:r w:rsidRPr="007C77ED">
        <w:rPr>
          <w:rFonts w:ascii="Arial" w:hAnsi="Arial" w:cs="Arial"/>
          <w:b/>
          <w:sz w:val="20"/>
          <w:szCs w:val="20"/>
        </w:rPr>
        <w:t>Orientações práticas:</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
          <w:sz w:val="20"/>
          <w:szCs w:val="20"/>
        </w:rPr>
      </w:pP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Cs/>
          <w:sz w:val="20"/>
          <w:szCs w:val="20"/>
        </w:rPr>
      </w:pPr>
      <w:r w:rsidRPr="007C77ED">
        <w:rPr>
          <w:rFonts w:ascii="Arial" w:hAnsi="Arial" w:cs="Arial"/>
          <w:b/>
          <w:bCs/>
          <w:sz w:val="20"/>
          <w:szCs w:val="20"/>
        </w:rPr>
        <w:t>1. Requisitos de habilitação específicos</w:t>
      </w:r>
      <w:r w:rsidRPr="007C77ED">
        <w:rPr>
          <w:rFonts w:ascii="Arial" w:hAnsi="Arial" w:cs="Arial"/>
          <w:bCs/>
          <w:sz w:val="20"/>
          <w:szCs w:val="20"/>
        </w:rPr>
        <w:t xml:space="preserve">: Nesse subitem estão descritas (na cor preta) as exigências relacionadas à fase de habilitação </w:t>
      </w:r>
      <w:r w:rsidRPr="007C77ED">
        <w:rPr>
          <w:rFonts w:ascii="Arial" w:hAnsi="Arial" w:cs="Arial"/>
          <w:bCs/>
          <w:sz w:val="20"/>
          <w:szCs w:val="20"/>
          <w:u w:val="single"/>
        </w:rPr>
        <w:t>específicas</w:t>
      </w:r>
      <w:r w:rsidRPr="007C77ED">
        <w:rPr>
          <w:rFonts w:ascii="Arial" w:hAnsi="Arial" w:cs="Arial"/>
          <w:bCs/>
          <w:sz w:val="20"/>
          <w:szCs w:val="20"/>
        </w:rPr>
        <w:t xml:space="preserve"> para as aquisições de medicamentos, observando a legislação sobre o tema.</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Cs/>
          <w:sz w:val="20"/>
          <w:szCs w:val="20"/>
        </w:rPr>
      </w:pPr>
      <w:r w:rsidRPr="007C77ED">
        <w:rPr>
          <w:rFonts w:ascii="Arial" w:hAnsi="Arial" w:cs="Arial"/>
          <w:bCs/>
          <w:sz w:val="20"/>
          <w:szCs w:val="20"/>
        </w:rPr>
        <w:t xml:space="preserve">Cabe destacar que às condições </w:t>
      </w:r>
      <w:r w:rsidRPr="007C77ED">
        <w:rPr>
          <w:rFonts w:ascii="Arial" w:hAnsi="Arial" w:cs="Arial"/>
          <w:bCs/>
          <w:sz w:val="20"/>
          <w:szCs w:val="20"/>
          <w:u w:val="single"/>
        </w:rPr>
        <w:t>gerais</w:t>
      </w:r>
      <w:r w:rsidRPr="007C77ED">
        <w:rPr>
          <w:rFonts w:ascii="Arial" w:hAnsi="Arial" w:cs="Arial"/>
          <w:bCs/>
          <w:sz w:val="20"/>
          <w:szCs w:val="20"/>
        </w:rPr>
        <w:t xml:space="preserve"> da Habilitação Jurídica, Fiscal e Trabalhista já estão inseridas na Minuta-Padrão do Edital para aquisição de medicamentos, disponibilizada pelo site </w:t>
      </w:r>
      <w:hyperlink r:id="rId8" w:history="1">
        <w:r w:rsidRPr="007C77ED">
          <w:rPr>
            <w:rFonts w:ascii="Arial" w:hAnsi="Arial" w:cs="Arial"/>
            <w:bCs/>
            <w:color w:val="0563C1" w:themeColor="hyperlink"/>
            <w:sz w:val="20"/>
            <w:szCs w:val="20"/>
            <w:u w:val="single"/>
          </w:rPr>
          <w:t>https://www.pge.ms.gov.br/minutas-padrao-pge-ms/</w:t>
        </w:r>
      </w:hyperlink>
      <w:r w:rsidRPr="007C77ED">
        <w:rPr>
          <w:rFonts w:ascii="Arial" w:hAnsi="Arial" w:cs="Arial"/>
          <w:bCs/>
          <w:sz w:val="20"/>
          <w:szCs w:val="20"/>
        </w:rPr>
        <w:t>.</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Cs/>
          <w:sz w:val="20"/>
          <w:szCs w:val="20"/>
        </w:rPr>
      </w:pP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Cs/>
          <w:sz w:val="20"/>
          <w:szCs w:val="20"/>
        </w:rPr>
      </w:pPr>
      <w:r w:rsidRPr="007C77ED">
        <w:rPr>
          <w:rFonts w:ascii="Arial" w:hAnsi="Arial" w:cs="Arial"/>
          <w:b/>
          <w:bCs/>
          <w:sz w:val="20"/>
          <w:szCs w:val="20"/>
        </w:rPr>
        <w:t>2. Atestado de Capacidade Técnica</w:t>
      </w:r>
      <w:r w:rsidRPr="007C77ED">
        <w:rPr>
          <w:rFonts w:ascii="Arial" w:hAnsi="Arial" w:cs="Arial"/>
          <w:bCs/>
          <w:sz w:val="20"/>
          <w:szCs w:val="20"/>
        </w:rPr>
        <w:t xml:space="preserve">: é possível a exigência de atestado de capacidade técnico-operacional para fins de comprovação de que o licitante executou objeto similar ao licitado e possui capacidade de fornecimento para tanto, desde que se </w:t>
      </w:r>
      <w:r w:rsidRPr="007C77ED">
        <w:rPr>
          <w:rFonts w:ascii="Arial" w:hAnsi="Arial" w:cs="Arial"/>
          <w:bCs/>
          <w:sz w:val="20"/>
          <w:szCs w:val="20"/>
          <w:u w:val="single"/>
        </w:rPr>
        <w:t>apresente justificativa da indispensabilidade dessa comprovação</w:t>
      </w:r>
      <w:r w:rsidRPr="007C77ED">
        <w:rPr>
          <w:rFonts w:ascii="Arial" w:hAnsi="Arial" w:cs="Arial"/>
          <w:bCs/>
          <w:sz w:val="20"/>
          <w:szCs w:val="20"/>
        </w:rPr>
        <w:t xml:space="preserve"> para garantir a execução do contrato e sua compatibilidade com o objeto delineado no certame. Caso contrário, constatando-se que a exigência do atestado é prescindível para assegurar o cumprimento da obrigação (art. 37, XXI, da CF/88), este deve ser dispensado em abono da garantia da manutenção/ampliação da competitividade do certame.</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Cs/>
          <w:sz w:val="20"/>
          <w:szCs w:val="20"/>
        </w:rPr>
      </w:pPr>
      <w:r w:rsidRPr="37108326">
        <w:rPr>
          <w:rFonts w:ascii="Arial" w:hAnsi="Arial" w:cs="Arial"/>
          <w:sz w:val="20"/>
          <w:szCs w:val="20"/>
        </w:rPr>
        <w:t xml:space="preserve">Em vermelho consta uma </w:t>
      </w:r>
      <w:r w:rsidRPr="37108326">
        <w:rPr>
          <w:rFonts w:ascii="Arial" w:hAnsi="Arial" w:cs="Arial"/>
          <w:sz w:val="20"/>
          <w:szCs w:val="20"/>
          <w:u w:val="single"/>
        </w:rPr>
        <w:t>sugestão</w:t>
      </w:r>
      <w:r w:rsidRPr="37108326">
        <w:rPr>
          <w:rFonts w:ascii="Arial" w:hAnsi="Arial" w:cs="Arial"/>
          <w:sz w:val="20"/>
          <w:szCs w:val="20"/>
        </w:rPr>
        <w:t xml:space="preserve"> de redação caso a equipe de planejamento opte pela exigência de atestado de capacidade técnica, o que não dispensa a necessidade de justificativa, lembrando que o TCU admite a exigência deste atestado até o limite de 50% do quantitativo do objeto licitado (Ac. 2.696/2019 – 1ª Câmara).</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Cs/>
          <w:sz w:val="20"/>
          <w:szCs w:val="20"/>
        </w:rPr>
      </w:pP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color w:val="000000"/>
          <w:sz w:val="20"/>
          <w:szCs w:val="20"/>
        </w:rPr>
      </w:pPr>
      <w:r w:rsidRPr="37108326">
        <w:rPr>
          <w:rFonts w:ascii="Arial" w:hAnsi="Arial" w:cs="Arial"/>
          <w:b/>
          <w:bCs/>
          <w:color w:val="000000" w:themeColor="text1"/>
          <w:sz w:val="20"/>
          <w:szCs w:val="20"/>
        </w:rPr>
        <w:t>3. Outros requisitos de habilitação</w:t>
      </w:r>
      <w:r w:rsidRPr="37108326">
        <w:rPr>
          <w:rFonts w:ascii="Arial" w:hAnsi="Arial" w:cs="Arial"/>
          <w:color w:val="000000" w:themeColor="text1"/>
          <w:sz w:val="20"/>
          <w:szCs w:val="20"/>
        </w:rPr>
        <w:t>: Além das sugestões em vermelho, é permitida a inclusão de outros requisitos que a equipe de planejamento julgar pertinente, além daquelas definidas na minuta padrão. Nesta hipótese, deve haver demonstração da pertinência, expressamente indicada mediante citação da norma de regência e dispositivos aplicáveis.</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color w:val="000000"/>
          <w:sz w:val="20"/>
        </w:rPr>
      </w:pP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sz w:val="20"/>
          <w:szCs w:val="20"/>
        </w:rPr>
      </w:pPr>
      <w:r w:rsidRPr="37108326">
        <w:rPr>
          <w:rFonts w:ascii="Arial" w:hAnsi="Arial" w:cs="Arial"/>
          <w:b/>
          <w:bCs/>
          <w:color w:val="000000" w:themeColor="text1"/>
          <w:sz w:val="20"/>
          <w:szCs w:val="20"/>
        </w:rPr>
        <w:t>4. Registro de preço e requisitos de habilitação</w:t>
      </w:r>
      <w:r w:rsidRPr="37108326">
        <w:rPr>
          <w:rFonts w:ascii="Arial" w:hAnsi="Arial" w:cs="Arial"/>
          <w:color w:val="000000" w:themeColor="text1"/>
          <w:sz w:val="20"/>
          <w:szCs w:val="20"/>
        </w:rPr>
        <w:t xml:space="preserve">: Nos termos do art. 20, IV c/c §4º do Decreto Estadual nº 15.454/2020, no caso de registro de preços a estimativa de quantidades a serem adquiridas por órgãos </w:t>
      </w:r>
      <w:r w:rsidRPr="37108326">
        <w:rPr>
          <w:rFonts w:ascii="Arial" w:hAnsi="Arial" w:cs="Arial"/>
          <w:color w:val="000000" w:themeColor="text1"/>
          <w:sz w:val="20"/>
          <w:szCs w:val="20"/>
          <w:u w:val="single"/>
        </w:rPr>
        <w:t>não participantes</w:t>
      </w:r>
      <w:r w:rsidRPr="37108326">
        <w:rPr>
          <w:rFonts w:ascii="Arial" w:hAnsi="Arial" w:cs="Arial"/>
          <w:color w:val="000000" w:themeColor="text1"/>
          <w:sz w:val="20"/>
          <w:szCs w:val="20"/>
        </w:rPr>
        <w:t xml:space="preserve"> não será considerada para fins de qualificação técnica e qualificação econômico-financeira na habilitação do licitante</w:t>
      </w:r>
    </w:p>
    <w:p w:rsidR="00CA7D8E" w:rsidRPr="007C77ED" w:rsidRDefault="00CA7D8E" w:rsidP="00CA7D8E">
      <w:pPr>
        <w:spacing w:after="0" w:line="240" w:lineRule="auto"/>
        <w:jc w:val="both"/>
        <w:rPr>
          <w:rFonts w:ascii="Arial" w:hAnsi="Arial" w:cs="Arial"/>
          <w:b/>
          <w:sz w:val="20"/>
          <w:szCs w:val="20"/>
        </w:rPr>
      </w:pPr>
    </w:p>
    <w:p w:rsidR="00CA7D8E" w:rsidRPr="007C77ED" w:rsidRDefault="00CA7D8E" w:rsidP="00CA7D8E">
      <w:pPr>
        <w:spacing w:after="200" w:line="240" w:lineRule="auto"/>
        <w:jc w:val="both"/>
        <w:rPr>
          <w:rFonts w:ascii="Arial" w:hAnsi="Arial" w:cs="Arial"/>
          <w:color w:val="000000" w:themeColor="text1"/>
          <w:sz w:val="20"/>
          <w:szCs w:val="20"/>
        </w:rPr>
      </w:pPr>
      <w:r w:rsidRPr="007C77ED">
        <w:rPr>
          <w:rFonts w:ascii="Arial" w:hAnsi="Arial" w:cs="Arial"/>
          <w:b/>
          <w:sz w:val="20"/>
          <w:szCs w:val="20"/>
        </w:rPr>
        <w:t>10.2.1.</w:t>
      </w:r>
      <w:r w:rsidRPr="007C77ED">
        <w:rPr>
          <w:rFonts w:ascii="Arial" w:hAnsi="Arial" w:cs="Arial"/>
          <w:sz w:val="20"/>
          <w:szCs w:val="20"/>
        </w:rPr>
        <w:t xml:space="preserve"> Quanto aos requisitos específicos de </w:t>
      </w:r>
      <w:r w:rsidRPr="007C77ED">
        <w:rPr>
          <w:rFonts w:ascii="Arial" w:hAnsi="Arial" w:cs="Arial"/>
          <w:b/>
          <w:sz w:val="20"/>
          <w:szCs w:val="20"/>
        </w:rPr>
        <w:t>Habilitação Jurídica</w:t>
      </w:r>
      <w:r w:rsidRPr="007C77ED">
        <w:rPr>
          <w:rFonts w:ascii="Arial" w:hAnsi="Arial" w:cs="Arial"/>
          <w:sz w:val="20"/>
          <w:szCs w:val="20"/>
        </w:rPr>
        <w:t xml:space="preserve"> para o exercício da atividade relacionados ao fornecimento, revenda e/ou distribuição de medicamentos, os licitantes deverão </w:t>
      </w:r>
      <w:r w:rsidRPr="007C77ED">
        <w:rPr>
          <w:rFonts w:ascii="Arial" w:hAnsi="Arial" w:cs="Arial"/>
          <w:color w:val="000000" w:themeColor="text1"/>
          <w:sz w:val="20"/>
          <w:szCs w:val="20"/>
        </w:rPr>
        <w:t>apresentar os documentos, em plena validade, a seguir relacionados:</w:t>
      </w:r>
    </w:p>
    <w:p w:rsidR="00CA7D8E" w:rsidRPr="007C77ED" w:rsidRDefault="00CA7D8E" w:rsidP="00CA7D8E">
      <w:pPr>
        <w:spacing w:after="0" w:line="240" w:lineRule="auto"/>
        <w:jc w:val="both"/>
        <w:rPr>
          <w:rFonts w:ascii="Arial" w:hAnsi="Arial" w:cs="Arial"/>
          <w:color w:val="000000" w:themeColor="text1"/>
          <w:sz w:val="20"/>
          <w:szCs w:val="20"/>
        </w:rPr>
      </w:pPr>
      <w:r w:rsidRPr="007C77ED">
        <w:rPr>
          <w:rFonts w:ascii="Arial" w:hAnsi="Arial" w:cs="Arial"/>
          <w:b/>
          <w:color w:val="000000" w:themeColor="text1"/>
          <w:sz w:val="20"/>
          <w:szCs w:val="20"/>
        </w:rPr>
        <w:t>10.2.1.1. Autorização de Funcionamento de Empresa</w:t>
      </w:r>
      <w:r w:rsidRPr="007C77ED">
        <w:rPr>
          <w:rFonts w:ascii="Arial" w:hAnsi="Arial" w:cs="Arial"/>
          <w:color w:val="000000" w:themeColor="text1"/>
          <w:sz w:val="20"/>
          <w:szCs w:val="20"/>
        </w:rPr>
        <w:t xml:space="preserve"> </w:t>
      </w:r>
      <w:r w:rsidRPr="007C77ED">
        <w:rPr>
          <w:rFonts w:ascii="Arial" w:hAnsi="Arial" w:cs="Arial"/>
          <w:b/>
          <w:color w:val="000000" w:themeColor="text1"/>
          <w:sz w:val="20"/>
          <w:szCs w:val="20"/>
        </w:rPr>
        <w:t>(AFE)</w:t>
      </w:r>
      <w:r w:rsidRPr="007C77ED">
        <w:rPr>
          <w:rFonts w:ascii="Arial" w:hAnsi="Arial" w:cs="Arial"/>
          <w:color w:val="000000" w:themeColor="text1"/>
          <w:sz w:val="20"/>
          <w:szCs w:val="20"/>
        </w:rPr>
        <w:t xml:space="preserve"> de titularidade da empresa participante da licitação, </w:t>
      </w:r>
      <w:r w:rsidRPr="007C77ED">
        <w:rPr>
          <w:rFonts w:ascii="Arial" w:hAnsi="Arial" w:cs="Arial"/>
          <w:color w:val="000000" w:themeColor="text1"/>
          <w:sz w:val="20"/>
        </w:rPr>
        <w:t xml:space="preserve">expedida pela ANVISA, </w:t>
      </w:r>
      <w:r w:rsidRPr="007C77ED">
        <w:rPr>
          <w:rFonts w:ascii="Arial" w:hAnsi="Arial" w:cs="Arial"/>
          <w:color w:val="000000" w:themeColor="text1"/>
          <w:sz w:val="20"/>
          <w:szCs w:val="20"/>
        </w:rPr>
        <w:t xml:space="preserve">em cumprimento ao disposto nos </w:t>
      </w:r>
      <w:proofErr w:type="spellStart"/>
      <w:r w:rsidRPr="007C77ED">
        <w:rPr>
          <w:rFonts w:ascii="Arial" w:hAnsi="Arial" w:cs="Arial"/>
          <w:color w:val="000000" w:themeColor="text1"/>
          <w:sz w:val="20"/>
          <w:szCs w:val="20"/>
        </w:rPr>
        <w:t>arts</w:t>
      </w:r>
      <w:proofErr w:type="spellEnd"/>
      <w:r w:rsidRPr="007C77ED">
        <w:rPr>
          <w:rFonts w:ascii="Arial" w:hAnsi="Arial" w:cs="Arial"/>
          <w:color w:val="000000" w:themeColor="text1"/>
          <w:sz w:val="20"/>
          <w:szCs w:val="20"/>
        </w:rPr>
        <w:t xml:space="preserve">. 1º, 2º e 50 da Lei Federal </w:t>
      </w:r>
      <w:proofErr w:type="gramStart"/>
      <w:r w:rsidRPr="007C77ED">
        <w:rPr>
          <w:rFonts w:ascii="Arial" w:hAnsi="Arial" w:cs="Arial"/>
          <w:color w:val="000000" w:themeColor="text1"/>
          <w:sz w:val="20"/>
          <w:szCs w:val="20"/>
        </w:rPr>
        <w:t>n.º</w:t>
      </w:r>
      <w:proofErr w:type="gramEnd"/>
      <w:r w:rsidRPr="007C77ED">
        <w:rPr>
          <w:rFonts w:ascii="Arial" w:hAnsi="Arial" w:cs="Arial"/>
          <w:color w:val="000000" w:themeColor="text1"/>
          <w:sz w:val="20"/>
          <w:szCs w:val="20"/>
        </w:rPr>
        <w:t xml:space="preserve"> </w:t>
      </w:r>
      <w:r w:rsidRPr="007C77ED">
        <w:rPr>
          <w:rFonts w:ascii="Arial" w:hAnsi="Arial" w:cs="Arial"/>
          <w:color w:val="000000" w:themeColor="text1"/>
          <w:sz w:val="20"/>
          <w:szCs w:val="20"/>
        </w:rPr>
        <w:lastRenderedPageBreak/>
        <w:t>6.360/1976, no art. 2º, do Decreto n. 8.077/2013; artigos 7º, VII e 23, §10º, da Lei n. 9.782/1999; no art. 3º, da RDC n. 16/2014; art. 5º, II, da Portaria do Ministério da Saúde n. 2.814/1998; art. 99, da Lei nº 13.043/2014.</w:t>
      </w:r>
    </w:p>
    <w:p w:rsidR="00CA7D8E" w:rsidRPr="007C77ED" w:rsidRDefault="00CA7D8E" w:rsidP="00CA7D8E">
      <w:pPr>
        <w:spacing w:after="0" w:line="240" w:lineRule="auto"/>
        <w:jc w:val="both"/>
        <w:rPr>
          <w:rFonts w:ascii="Arial" w:hAnsi="Arial" w:cs="Arial"/>
          <w:b/>
          <w:color w:val="000000" w:themeColor="text1"/>
          <w:sz w:val="20"/>
          <w:szCs w:val="20"/>
        </w:rPr>
      </w:pPr>
    </w:p>
    <w:p w:rsidR="00CA7D8E" w:rsidRPr="007C77ED" w:rsidRDefault="00CA7D8E" w:rsidP="00CA7D8E">
      <w:pPr>
        <w:spacing w:after="0" w:line="240" w:lineRule="auto"/>
        <w:jc w:val="both"/>
        <w:rPr>
          <w:rFonts w:ascii="Arial" w:hAnsi="Arial" w:cs="Arial"/>
          <w:color w:val="000000" w:themeColor="text1"/>
          <w:sz w:val="20"/>
          <w:szCs w:val="20"/>
        </w:rPr>
      </w:pPr>
      <w:r w:rsidRPr="007C77ED">
        <w:rPr>
          <w:rFonts w:ascii="Arial" w:hAnsi="Arial" w:cs="Arial"/>
          <w:b/>
          <w:color w:val="000000" w:themeColor="text1"/>
          <w:sz w:val="20"/>
          <w:szCs w:val="20"/>
        </w:rPr>
        <w:t>10.2.1.2.</w:t>
      </w:r>
      <w:r w:rsidRPr="007C77ED">
        <w:rPr>
          <w:rFonts w:ascii="Arial" w:hAnsi="Arial" w:cs="Arial"/>
          <w:color w:val="000000" w:themeColor="text1"/>
          <w:sz w:val="20"/>
          <w:szCs w:val="20"/>
        </w:rPr>
        <w:t xml:space="preserve"> </w:t>
      </w:r>
      <w:r w:rsidRPr="007C77ED">
        <w:rPr>
          <w:rFonts w:ascii="Arial" w:hAnsi="Arial" w:cs="Arial"/>
          <w:b/>
          <w:color w:val="000000" w:themeColor="text1"/>
          <w:sz w:val="20"/>
          <w:szCs w:val="20"/>
        </w:rPr>
        <w:t>Autorização de Funcionamento de Empresa Especial (AE)</w:t>
      </w:r>
      <w:r w:rsidRPr="007C77ED">
        <w:rPr>
          <w:rFonts w:ascii="Arial" w:hAnsi="Arial" w:cs="Arial"/>
          <w:color w:val="000000" w:themeColor="text1"/>
          <w:sz w:val="20"/>
          <w:szCs w:val="20"/>
        </w:rPr>
        <w:t xml:space="preserve">, de titularidade da empresa participante da licitação, </w:t>
      </w:r>
      <w:r w:rsidRPr="007C77ED">
        <w:rPr>
          <w:rFonts w:ascii="Arial" w:hAnsi="Arial" w:cs="Arial"/>
          <w:color w:val="000000" w:themeColor="text1"/>
          <w:sz w:val="20"/>
        </w:rPr>
        <w:t xml:space="preserve">expedida pela ANVISA, no caso de cotação de medicamentos sujeitos a controle especial, </w:t>
      </w:r>
      <w:r w:rsidRPr="007C77ED">
        <w:rPr>
          <w:rFonts w:ascii="Arial" w:hAnsi="Arial" w:cs="Arial"/>
          <w:color w:val="000000" w:themeColor="text1"/>
          <w:sz w:val="20"/>
          <w:szCs w:val="20"/>
        </w:rPr>
        <w:t xml:space="preserve">na forma dos </w:t>
      </w:r>
      <w:proofErr w:type="spellStart"/>
      <w:r w:rsidRPr="007C77ED">
        <w:rPr>
          <w:rFonts w:ascii="Arial" w:hAnsi="Arial" w:cs="Arial"/>
          <w:color w:val="000000" w:themeColor="text1"/>
          <w:sz w:val="20"/>
          <w:szCs w:val="20"/>
        </w:rPr>
        <w:t>arts</w:t>
      </w:r>
      <w:proofErr w:type="spellEnd"/>
      <w:r w:rsidRPr="007C77ED">
        <w:rPr>
          <w:rFonts w:ascii="Arial" w:hAnsi="Arial" w:cs="Arial"/>
          <w:color w:val="000000" w:themeColor="text1"/>
          <w:sz w:val="20"/>
          <w:szCs w:val="20"/>
        </w:rPr>
        <w:t>. 1º, 2º e 50 da Lei Federal n. 6.360/1976; o art. 2º, do Decreto n. 8.077/2013; art. 4º, da RDC n. 16/2014; e o art. 2º, § 7º da Portaria SVS n. 344, de 12 de maio de 1998.</w:t>
      </w:r>
    </w:p>
    <w:p w:rsidR="00CA7D8E" w:rsidRPr="007C77ED" w:rsidRDefault="00CA7D8E" w:rsidP="00CA7D8E">
      <w:pPr>
        <w:spacing w:after="0" w:line="240" w:lineRule="auto"/>
        <w:jc w:val="both"/>
        <w:rPr>
          <w:rFonts w:ascii="Arial" w:hAnsi="Arial" w:cs="Arial"/>
          <w:color w:val="000000" w:themeColor="text1"/>
          <w:sz w:val="20"/>
          <w:szCs w:val="20"/>
        </w:rPr>
      </w:pPr>
    </w:p>
    <w:p w:rsidR="00CA7D8E" w:rsidRPr="007C77ED" w:rsidRDefault="00CA7D8E" w:rsidP="00CA7D8E">
      <w:pPr>
        <w:spacing w:after="200" w:line="240" w:lineRule="auto"/>
        <w:jc w:val="both"/>
        <w:rPr>
          <w:rFonts w:ascii="Arial" w:hAnsi="Arial" w:cs="Arial"/>
          <w:color w:val="000000"/>
          <w:sz w:val="20"/>
          <w:szCs w:val="20"/>
        </w:rPr>
      </w:pPr>
      <w:r w:rsidRPr="007C77ED">
        <w:rPr>
          <w:rFonts w:ascii="Arial" w:hAnsi="Arial" w:cs="Arial"/>
          <w:b/>
          <w:color w:val="000000" w:themeColor="text1"/>
          <w:sz w:val="20"/>
          <w:szCs w:val="20"/>
        </w:rPr>
        <w:t>10.2.2</w:t>
      </w:r>
      <w:r w:rsidRPr="007C77ED">
        <w:rPr>
          <w:rFonts w:ascii="Arial" w:hAnsi="Arial" w:cs="Arial"/>
          <w:color w:val="000000"/>
          <w:sz w:val="20"/>
          <w:szCs w:val="20"/>
        </w:rPr>
        <w:t xml:space="preserve"> Como requisito de </w:t>
      </w:r>
      <w:r w:rsidRPr="007C77ED">
        <w:rPr>
          <w:rFonts w:ascii="Arial" w:hAnsi="Arial" w:cs="Arial"/>
          <w:b/>
          <w:color w:val="000000"/>
          <w:sz w:val="20"/>
          <w:szCs w:val="20"/>
        </w:rPr>
        <w:t>habilitação técnica</w:t>
      </w:r>
      <w:r w:rsidRPr="007C77ED">
        <w:rPr>
          <w:rFonts w:ascii="Arial" w:hAnsi="Arial" w:cs="Arial"/>
          <w:color w:val="000000"/>
          <w:sz w:val="20"/>
          <w:szCs w:val="20"/>
        </w:rPr>
        <w:t>, será exigido:</w:t>
      </w:r>
    </w:p>
    <w:p w:rsidR="00CA7D8E" w:rsidRPr="007C77ED" w:rsidRDefault="00CA7D8E" w:rsidP="00CA7D8E">
      <w:pPr>
        <w:numPr>
          <w:ilvl w:val="0"/>
          <w:numId w:val="20"/>
        </w:numPr>
        <w:spacing w:after="200" w:line="276" w:lineRule="auto"/>
        <w:ind w:left="1134"/>
        <w:contextualSpacing/>
        <w:jc w:val="both"/>
        <w:rPr>
          <w:rFonts w:ascii="Arial" w:hAnsi="Arial" w:cs="Arial"/>
          <w:b/>
          <w:bCs/>
          <w:color w:val="FF0000"/>
          <w:sz w:val="20"/>
          <w:szCs w:val="20"/>
        </w:rPr>
      </w:pPr>
      <w:r w:rsidRPr="007C77ED">
        <w:rPr>
          <w:rFonts w:ascii="Arial" w:hAnsi="Arial" w:cs="Arial"/>
          <w:b/>
          <w:color w:val="000000"/>
          <w:sz w:val="20"/>
          <w:szCs w:val="20"/>
        </w:rPr>
        <w:t>Alvará de Licença Sanitária de titularidade da empresa licitante</w:t>
      </w:r>
      <w:r w:rsidRPr="007C77ED">
        <w:rPr>
          <w:rFonts w:ascii="Arial" w:hAnsi="Arial" w:cs="Arial"/>
          <w:bCs/>
          <w:color w:val="000000"/>
          <w:sz w:val="20"/>
          <w:szCs w:val="20"/>
        </w:rPr>
        <w:t xml:space="preserve">, expedido pela Vigilância Sanitária Estadual ou Municipal, conforme dispõe os </w:t>
      </w:r>
      <w:proofErr w:type="spellStart"/>
      <w:r w:rsidRPr="007C77ED">
        <w:rPr>
          <w:rFonts w:ascii="Arial" w:hAnsi="Arial" w:cs="Arial"/>
          <w:bCs/>
          <w:color w:val="000000"/>
          <w:sz w:val="20"/>
          <w:szCs w:val="20"/>
        </w:rPr>
        <w:t>arts</w:t>
      </w:r>
      <w:proofErr w:type="spellEnd"/>
      <w:r w:rsidRPr="007C77ED">
        <w:rPr>
          <w:rFonts w:ascii="Arial" w:hAnsi="Arial" w:cs="Arial"/>
          <w:bCs/>
          <w:color w:val="000000"/>
          <w:sz w:val="20"/>
          <w:szCs w:val="20"/>
        </w:rPr>
        <w:t xml:space="preserve">. 1º e 2º, ambos da Lei n. º 6.360/1976, </w:t>
      </w:r>
      <w:proofErr w:type="spellStart"/>
      <w:r w:rsidRPr="007C77ED">
        <w:rPr>
          <w:rFonts w:ascii="Arial" w:hAnsi="Arial" w:cs="Arial"/>
          <w:bCs/>
          <w:color w:val="000000"/>
          <w:sz w:val="20"/>
          <w:szCs w:val="20"/>
        </w:rPr>
        <w:t>arts</w:t>
      </w:r>
      <w:proofErr w:type="spellEnd"/>
      <w:r w:rsidRPr="007C77ED">
        <w:rPr>
          <w:rFonts w:ascii="Arial" w:hAnsi="Arial" w:cs="Arial"/>
          <w:bCs/>
          <w:color w:val="000000"/>
          <w:sz w:val="20"/>
          <w:szCs w:val="20"/>
        </w:rPr>
        <w:t>. 2º e 4º, do Decreto Federal n. 8.077/2013, e o art. 5º, I, da Portaria do Ministério da Saúde nº. 2.814/1998, ficando a cargo do proponente provar que está dispensado do Alvará Sanitário.</w:t>
      </w:r>
      <w:r w:rsidRPr="007C77ED">
        <w:rPr>
          <w:rFonts w:ascii="Arial" w:hAnsi="Arial" w:cs="Arial"/>
          <w:b/>
          <w:color w:val="000000"/>
          <w:sz w:val="20"/>
          <w:szCs w:val="20"/>
        </w:rPr>
        <w:t xml:space="preserve"> </w:t>
      </w:r>
    </w:p>
    <w:p w:rsidR="00CA7D8E" w:rsidRPr="007C77ED" w:rsidRDefault="00CA7D8E" w:rsidP="00CA7D8E">
      <w:pPr>
        <w:spacing w:after="200" w:line="240" w:lineRule="auto"/>
        <w:ind w:left="1134"/>
        <w:contextualSpacing/>
        <w:jc w:val="both"/>
        <w:rPr>
          <w:rFonts w:ascii="Arial" w:hAnsi="Arial" w:cs="Arial"/>
          <w:b/>
          <w:bCs/>
          <w:color w:val="FF0000"/>
          <w:sz w:val="20"/>
          <w:szCs w:val="20"/>
        </w:rPr>
      </w:pPr>
      <w:r w:rsidRPr="007C77ED">
        <w:rPr>
          <w:rFonts w:ascii="Arial" w:hAnsi="Arial" w:cs="Arial"/>
          <w:bCs/>
          <w:color w:val="000000"/>
          <w:sz w:val="20"/>
          <w:szCs w:val="20"/>
        </w:rPr>
        <w:t xml:space="preserve">a.1. Em caso do Alvará Sanitário (ou Licença Sanitária) vencido, será aceito protocolo de revalidação, desde que a Vigilância Sanitária competente pela expedição do documento (municipal ou estadual) confira validade legal ao documento. Para tanto, deverá a empresa licitante apresentar cópia autenticada e legível da solicitação (protocolo) de revalidação, acompanhada da cópia de Licença Sanitária vencida, bem como, declaração emitida pelo órgão ou outro documento pertinente que assegure validade ao protocolo apresentado.  </w:t>
      </w:r>
    </w:p>
    <w:p w:rsidR="00CA7D8E" w:rsidRPr="007C77ED" w:rsidRDefault="00CA7D8E" w:rsidP="00CA7D8E">
      <w:pPr>
        <w:numPr>
          <w:ilvl w:val="0"/>
          <w:numId w:val="20"/>
        </w:numPr>
        <w:spacing w:after="200" w:line="276" w:lineRule="auto"/>
        <w:ind w:left="1134"/>
        <w:contextualSpacing/>
        <w:jc w:val="both"/>
        <w:rPr>
          <w:rFonts w:ascii="Arial" w:hAnsi="Arial" w:cs="Arial"/>
          <w:b/>
          <w:bCs/>
          <w:color w:val="000000" w:themeColor="text1"/>
          <w:sz w:val="20"/>
          <w:szCs w:val="20"/>
        </w:rPr>
      </w:pPr>
      <w:r w:rsidRPr="007C77ED">
        <w:rPr>
          <w:rFonts w:ascii="Arial" w:hAnsi="Arial" w:cs="Arial"/>
          <w:b/>
          <w:bCs/>
          <w:color w:val="000000" w:themeColor="text1"/>
          <w:sz w:val="20"/>
          <w:szCs w:val="20"/>
        </w:rPr>
        <w:t>Certificado de responsabilidade técnica do farmacêutico</w:t>
      </w:r>
      <w:r w:rsidRPr="007C77ED">
        <w:rPr>
          <w:rFonts w:ascii="Arial" w:hAnsi="Arial" w:cs="Arial"/>
          <w:bCs/>
          <w:color w:val="000000" w:themeColor="text1"/>
          <w:sz w:val="20"/>
          <w:szCs w:val="20"/>
        </w:rPr>
        <w:t>, emitido pelo Conselho Regional de Farmácia, com fundamento no art. 11, da Lei n. 5.991/1973, c/</w:t>
      </w:r>
      <w:proofErr w:type="gramStart"/>
      <w:r w:rsidRPr="007C77ED">
        <w:rPr>
          <w:rFonts w:ascii="Arial" w:hAnsi="Arial" w:cs="Arial"/>
          <w:bCs/>
          <w:color w:val="000000" w:themeColor="text1"/>
          <w:sz w:val="20"/>
          <w:szCs w:val="20"/>
        </w:rPr>
        <w:t>c</w:t>
      </w:r>
      <w:proofErr w:type="gramEnd"/>
      <w:r w:rsidRPr="007C77ED">
        <w:rPr>
          <w:rFonts w:ascii="Arial" w:hAnsi="Arial" w:cs="Arial"/>
          <w:bCs/>
          <w:color w:val="000000" w:themeColor="text1"/>
          <w:sz w:val="20"/>
          <w:szCs w:val="20"/>
        </w:rPr>
        <w:t xml:space="preserve"> os </w:t>
      </w:r>
      <w:proofErr w:type="spellStart"/>
      <w:r w:rsidRPr="007C77ED">
        <w:rPr>
          <w:rFonts w:ascii="Arial" w:hAnsi="Arial" w:cs="Arial"/>
          <w:bCs/>
          <w:color w:val="000000" w:themeColor="text1"/>
          <w:sz w:val="20"/>
          <w:szCs w:val="20"/>
        </w:rPr>
        <w:t>arts</w:t>
      </w:r>
      <w:proofErr w:type="spellEnd"/>
      <w:r w:rsidRPr="007C77ED">
        <w:rPr>
          <w:rFonts w:ascii="Arial" w:hAnsi="Arial" w:cs="Arial"/>
          <w:bCs/>
          <w:color w:val="000000" w:themeColor="text1"/>
          <w:sz w:val="20"/>
          <w:szCs w:val="20"/>
        </w:rPr>
        <w:t>. 2º e 5º, do Decreto n. 8.077/2013; art. 24, da Lei n. 3.820/1960, c/</w:t>
      </w:r>
      <w:proofErr w:type="gramStart"/>
      <w:r w:rsidRPr="007C77ED">
        <w:rPr>
          <w:rFonts w:ascii="Arial" w:hAnsi="Arial" w:cs="Arial"/>
          <w:bCs/>
          <w:color w:val="000000" w:themeColor="text1"/>
          <w:sz w:val="20"/>
          <w:szCs w:val="20"/>
        </w:rPr>
        <w:t>c</w:t>
      </w:r>
      <w:proofErr w:type="gramEnd"/>
      <w:r w:rsidRPr="007C77ED">
        <w:rPr>
          <w:rFonts w:ascii="Arial" w:hAnsi="Arial" w:cs="Arial"/>
          <w:bCs/>
          <w:color w:val="000000" w:themeColor="text1"/>
          <w:sz w:val="20"/>
          <w:szCs w:val="20"/>
        </w:rPr>
        <w:t xml:space="preserve"> o art. 1º, II, “d”, do Decreto n. 85.878/1981.</w:t>
      </w:r>
    </w:p>
    <w:p w:rsidR="00CA7D8E" w:rsidRPr="007C77ED" w:rsidRDefault="00CA7D8E" w:rsidP="00CA7D8E">
      <w:pPr>
        <w:widowControl w:val="0"/>
        <w:tabs>
          <w:tab w:val="left" w:pos="567"/>
        </w:tabs>
        <w:suppressAutoHyphens/>
        <w:spacing w:after="240" w:line="240" w:lineRule="auto"/>
        <w:jc w:val="both"/>
        <w:rPr>
          <w:rFonts w:ascii="Arial" w:eastAsia="Times New Roman" w:hAnsi="Arial" w:cs="Arial"/>
          <w:b/>
          <w:color w:val="FF0000"/>
          <w:sz w:val="20"/>
          <w:szCs w:val="20"/>
          <w:lang w:eastAsia="ar-SA"/>
        </w:rPr>
      </w:pPr>
    </w:p>
    <w:p w:rsidR="00CA7D8E" w:rsidRPr="007C77ED" w:rsidRDefault="00CA7D8E" w:rsidP="00CA7D8E">
      <w:pPr>
        <w:widowControl w:val="0"/>
        <w:tabs>
          <w:tab w:val="left" w:pos="567"/>
        </w:tabs>
        <w:suppressAutoHyphens/>
        <w:spacing w:after="240" w:line="240" w:lineRule="auto"/>
        <w:jc w:val="both"/>
        <w:rPr>
          <w:rFonts w:ascii="Arial" w:eastAsia="Times New Roman" w:hAnsi="Arial" w:cs="Arial"/>
          <w:color w:val="FF0000"/>
          <w:sz w:val="20"/>
          <w:szCs w:val="20"/>
          <w:lang w:eastAsia="ar-SA"/>
        </w:rPr>
      </w:pPr>
      <w:r w:rsidRPr="37108326">
        <w:rPr>
          <w:rFonts w:ascii="Arial" w:eastAsia="Times New Roman" w:hAnsi="Arial" w:cs="Arial"/>
          <w:b/>
          <w:bCs/>
          <w:color w:val="FF0000"/>
          <w:sz w:val="20"/>
          <w:szCs w:val="20"/>
          <w:lang w:eastAsia="ar-SA"/>
        </w:rPr>
        <w:t>10.2.3.</w:t>
      </w:r>
      <w:r w:rsidRPr="37108326">
        <w:rPr>
          <w:rFonts w:ascii="Arial" w:eastAsia="Times New Roman" w:hAnsi="Arial" w:cs="Arial"/>
          <w:color w:val="FF0000"/>
          <w:sz w:val="20"/>
          <w:szCs w:val="20"/>
          <w:lang w:eastAsia="ar-SA"/>
        </w:rPr>
        <w:t xml:space="preserve"> Como requisito de habilitação técnica </w:t>
      </w:r>
      <w:proofErr w:type="gramStart"/>
      <w:r w:rsidRPr="37108326">
        <w:rPr>
          <w:rFonts w:ascii="Arial" w:eastAsia="Times New Roman" w:hAnsi="Arial" w:cs="Arial"/>
          <w:color w:val="FF0000"/>
          <w:sz w:val="20"/>
          <w:szCs w:val="20"/>
          <w:lang w:eastAsia="ar-SA"/>
        </w:rPr>
        <w:t>será(</w:t>
      </w:r>
      <w:proofErr w:type="spellStart"/>
      <w:proofErr w:type="gramEnd"/>
      <w:r w:rsidRPr="37108326">
        <w:rPr>
          <w:rFonts w:ascii="Arial" w:eastAsia="Times New Roman" w:hAnsi="Arial" w:cs="Arial"/>
          <w:color w:val="FF0000"/>
          <w:sz w:val="20"/>
          <w:szCs w:val="20"/>
          <w:lang w:eastAsia="ar-SA"/>
        </w:rPr>
        <w:t>ão</w:t>
      </w:r>
      <w:proofErr w:type="spellEnd"/>
      <w:r w:rsidRPr="37108326">
        <w:rPr>
          <w:rFonts w:ascii="Arial" w:eastAsia="Times New Roman" w:hAnsi="Arial" w:cs="Arial"/>
          <w:color w:val="FF0000"/>
          <w:sz w:val="20"/>
          <w:szCs w:val="20"/>
          <w:lang w:eastAsia="ar-SA"/>
        </w:rPr>
        <w:t>) exigido(s) Atestado(s) de Capacidade Técnica da licitante, emitido(s) por entidade da Administração Federal, Estadual ou Municipal, direta ou indireta e/ou empresa privada que comprove, de maneira satisfatória, a aptidão para desempenho de atividades pertinentes ao objeto a ser licitado.</w:t>
      </w:r>
    </w:p>
    <w:p w:rsidR="00CA7D8E" w:rsidRDefault="00CA7D8E" w:rsidP="00CA7D8E">
      <w:pPr>
        <w:widowControl w:val="0"/>
        <w:tabs>
          <w:tab w:val="left" w:pos="567"/>
        </w:tabs>
        <w:spacing w:after="0" w:line="240" w:lineRule="auto"/>
        <w:jc w:val="both"/>
        <w:rPr>
          <w:rFonts w:ascii="Arial" w:eastAsia="Arial" w:hAnsi="Arial" w:cs="Arial"/>
          <w:color w:val="FF0000"/>
          <w:sz w:val="20"/>
          <w:szCs w:val="20"/>
        </w:rPr>
      </w:pPr>
      <w:r w:rsidRPr="37108326">
        <w:rPr>
          <w:rFonts w:ascii="Arial" w:eastAsia="Times New Roman" w:hAnsi="Arial" w:cs="Arial"/>
          <w:b/>
          <w:bCs/>
          <w:color w:val="FF0000"/>
          <w:sz w:val="20"/>
          <w:szCs w:val="20"/>
          <w:lang w:eastAsia="ar-SA"/>
        </w:rPr>
        <w:t xml:space="preserve">10.2.4. </w:t>
      </w:r>
      <w:r w:rsidRPr="37108326">
        <w:rPr>
          <w:rFonts w:ascii="Arial" w:eastAsia="Arial" w:hAnsi="Arial" w:cs="Arial"/>
          <w:color w:val="FF0000"/>
          <w:sz w:val="20"/>
          <w:szCs w:val="20"/>
        </w:rPr>
        <w:t xml:space="preserve">Para os fins da exigência de regularidade fiscal de que trata o subitem 8.5.4.4. </w:t>
      </w:r>
      <w:proofErr w:type="gramStart"/>
      <w:r w:rsidRPr="37108326">
        <w:rPr>
          <w:rFonts w:ascii="Arial" w:eastAsia="Arial" w:hAnsi="Arial" w:cs="Arial"/>
          <w:color w:val="FF0000"/>
          <w:sz w:val="20"/>
          <w:szCs w:val="20"/>
        </w:rPr>
        <w:t>do</w:t>
      </w:r>
      <w:proofErr w:type="gramEnd"/>
      <w:r w:rsidRPr="37108326">
        <w:rPr>
          <w:rFonts w:ascii="Arial" w:eastAsia="Arial" w:hAnsi="Arial" w:cs="Arial"/>
          <w:color w:val="FF0000"/>
          <w:sz w:val="20"/>
          <w:szCs w:val="20"/>
        </w:rPr>
        <w:t xml:space="preserve"> Edital, </w:t>
      </w:r>
      <w:r w:rsidRPr="37108326">
        <w:rPr>
          <w:rFonts w:ascii="Arial" w:eastAsia="Arial" w:hAnsi="Arial" w:cs="Arial"/>
          <w:b/>
          <w:bCs/>
          <w:color w:val="FF0000"/>
          <w:sz w:val="20"/>
          <w:szCs w:val="20"/>
          <w:u w:val="single"/>
        </w:rPr>
        <w:t>além das al</w:t>
      </w:r>
      <w:r w:rsidRPr="37108326">
        <w:rPr>
          <w:rFonts w:ascii="Segoe UI" w:eastAsia="Segoe UI" w:hAnsi="Segoe UI" w:cs="Segoe UI"/>
          <w:b/>
          <w:bCs/>
          <w:color w:val="FF0000"/>
          <w:sz w:val="20"/>
          <w:szCs w:val="20"/>
          <w:u w:val="single"/>
        </w:rPr>
        <w:t>íneas “a” e “b” daquele dispositivo</w:t>
      </w:r>
      <w:r w:rsidRPr="37108326">
        <w:rPr>
          <w:rFonts w:ascii="Arial" w:eastAsia="Arial" w:hAnsi="Arial" w:cs="Arial"/>
          <w:color w:val="FF0000"/>
          <w:sz w:val="20"/>
          <w:szCs w:val="20"/>
        </w:rPr>
        <w:t xml:space="preserve">, será </w:t>
      </w:r>
      <w:r w:rsidRPr="37108326">
        <w:rPr>
          <w:rFonts w:ascii="Arial" w:eastAsia="Arial" w:hAnsi="Arial" w:cs="Arial"/>
          <w:b/>
          <w:bCs/>
          <w:color w:val="FF0000"/>
          <w:sz w:val="20"/>
          <w:szCs w:val="20"/>
          <w:u w:val="single"/>
        </w:rPr>
        <w:t>exigido também</w:t>
      </w:r>
      <w:r w:rsidRPr="37108326">
        <w:rPr>
          <w:rFonts w:ascii="Arial" w:eastAsia="Arial" w:hAnsi="Arial" w:cs="Arial"/>
          <w:color w:val="FF0000"/>
          <w:sz w:val="20"/>
          <w:szCs w:val="20"/>
        </w:rPr>
        <w:t>:</w:t>
      </w:r>
    </w:p>
    <w:p w:rsidR="00CA7D8E" w:rsidRDefault="00CA7D8E" w:rsidP="00CA7D8E">
      <w:pPr>
        <w:tabs>
          <w:tab w:val="left" w:pos="567"/>
        </w:tabs>
        <w:spacing w:after="0" w:line="240" w:lineRule="auto"/>
        <w:jc w:val="both"/>
        <w:rPr>
          <w:rFonts w:ascii="Arial" w:eastAsia="Arial" w:hAnsi="Arial" w:cs="Arial"/>
          <w:color w:val="FF0000"/>
          <w:sz w:val="20"/>
          <w:szCs w:val="20"/>
        </w:rPr>
      </w:pPr>
    </w:p>
    <w:p w:rsidR="00CA7D8E" w:rsidRDefault="00CA7D8E" w:rsidP="00CA7D8E">
      <w:pPr>
        <w:pStyle w:val="Corpodetexto31"/>
        <w:rPr>
          <w:rFonts w:ascii="Arial" w:eastAsia="Arial" w:hAnsi="Arial" w:cs="Arial"/>
          <w:color w:val="FF0000"/>
          <w:sz w:val="20"/>
        </w:rPr>
      </w:pPr>
      <w:r w:rsidRPr="37108326">
        <w:rPr>
          <w:rFonts w:ascii="Arial" w:eastAsia="Arial" w:hAnsi="Arial" w:cs="Arial"/>
          <w:color w:val="FF0000"/>
          <w:sz w:val="20"/>
        </w:rPr>
        <w:t xml:space="preserve">I - </w:t>
      </w:r>
      <w:proofErr w:type="gramStart"/>
      <w:r w:rsidRPr="37108326">
        <w:rPr>
          <w:rFonts w:ascii="Arial" w:eastAsia="Arial" w:hAnsi="Arial" w:cs="Arial"/>
          <w:color w:val="FF0000"/>
          <w:sz w:val="20"/>
        </w:rPr>
        <w:t>certidão</w:t>
      </w:r>
      <w:proofErr w:type="gramEnd"/>
      <w:r w:rsidRPr="37108326">
        <w:rPr>
          <w:rFonts w:ascii="Arial" w:eastAsia="Arial" w:hAnsi="Arial" w:cs="Arial"/>
          <w:color w:val="FF0000"/>
          <w:sz w:val="20"/>
        </w:rPr>
        <w:t xml:space="preserve"> emitida pela Fazenda Estadual da sede ou domicílio do licitante que comprove a regularidade de débitos tributários referentes ao Imposto sobre Operações relativas à Circulação de Mercadorias e sobre Prestações de Serviços de Transporte Interestadual, Intermunicipal e de Comunicação - ICMS;</w:t>
      </w:r>
    </w:p>
    <w:p w:rsidR="00CA7D8E" w:rsidRDefault="00CA7D8E" w:rsidP="00CA7D8E">
      <w:pPr>
        <w:spacing w:after="0" w:line="240" w:lineRule="auto"/>
        <w:jc w:val="both"/>
        <w:rPr>
          <w:rFonts w:ascii="Arial" w:eastAsia="Arial" w:hAnsi="Arial" w:cs="Arial"/>
          <w:color w:val="FF0000"/>
          <w:sz w:val="20"/>
          <w:szCs w:val="20"/>
        </w:rPr>
      </w:pPr>
    </w:p>
    <w:p w:rsidR="00CA7D8E" w:rsidRDefault="00CA7D8E" w:rsidP="00CA7D8E">
      <w:pPr>
        <w:pStyle w:val="Corpodetexto31"/>
        <w:rPr>
          <w:rFonts w:ascii="Arial" w:eastAsia="Arial" w:hAnsi="Arial" w:cs="Arial"/>
          <w:color w:val="FF0000"/>
          <w:sz w:val="20"/>
        </w:rPr>
      </w:pPr>
      <w:r w:rsidRPr="37108326">
        <w:rPr>
          <w:rFonts w:ascii="Arial" w:eastAsia="Arial" w:hAnsi="Arial" w:cs="Arial"/>
          <w:color w:val="FF0000"/>
          <w:sz w:val="20"/>
        </w:rPr>
        <w:t>(E/OU)</w:t>
      </w:r>
    </w:p>
    <w:p w:rsidR="00CA7D8E" w:rsidRDefault="00CA7D8E" w:rsidP="00CA7D8E">
      <w:pPr>
        <w:spacing w:after="0" w:line="240" w:lineRule="auto"/>
        <w:jc w:val="both"/>
        <w:rPr>
          <w:rFonts w:ascii="Arial" w:eastAsia="Arial" w:hAnsi="Arial" w:cs="Arial"/>
          <w:color w:val="FF0000"/>
          <w:sz w:val="20"/>
          <w:szCs w:val="20"/>
        </w:rPr>
      </w:pPr>
    </w:p>
    <w:p w:rsidR="00CA7D8E" w:rsidRDefault="00CA7D8E" w:rsidP="00CA7D8E">
      <w:pPr>
        <w:pStyle w:val="Corpodetexto31"/>
        <w:rPr>
          <w:rFonts w:ascii="Arial" w:eastAsia="Arial" w:hAnsi="Arial" w:cs="Arial"/>
          <w:color w:val="FF0000"/>
          <w:sz w:val="20"/>
        </w:rPr>
      </w:pPr>
      <w:r w:rsidRPr="37108326">
        <w:rPr>
          <w:rFonts w:ascii="Arial" w:eastAsia="Arial" w:hAnsi="Arial" w:cs="Arial"/>
          <w:color w:val="FF0000"/>
          <w:sz w:val="20"/>
        </w:rPr>
        <w:t xml:space="preserve">II - </w:t>
      </w:r>
      <w:proofErr w:type="gramStart"/>
      <w:r w:rsidRPr="37108326">
        <w:rPr>
          <w:rFonts w:ascii="Arial" w:eastAsia="Arial" w:hAnsi="Arial" w:cs="Arial"/>
          <w:color w:val="FF0000"/>
          <w:sz w:val="20"/>
        </w:rPr>
        <w:t>certidão</w:t>
      </w:r>
      <w:proofErr w:type="gramEnd"/>
      <w:r w:rsidRPr="37108326">
        <w:rPr>
          <w:rFonts w:ascii="Arial" w:eastAsia="Arial" w:hAnsi="Arial" w:cs="Arial"/>
          <w:color w:val="FF0000"/>
          <w:sz w:val="20"/>
        </w:rPr>
        <w:t xml:space="preserve"> emitida pela Fazenda Municipal da sede ou domicílio do licitante que comprove a regularidade de débitos tributários referentes ao Imposto sobre Serviços de Qualquer Natureza – ISSQN;</w:t>
      </w:r>
    </w:p>
    <w:p w:rsidR="00CA7D8E" w:rsidRDefault="00CA7D8E" w:rsidP="00CA7D8E">
      <w:pPr>
        <w:spacing w:after="0" w:line="240" w:lineRule="auto"/>
        <w:jc w:val="both"/>
        <w:rPr>
          <w:rFonts w:ascii="Arial" w:eastAsia="Arial" w:hAnsi="Arial" w:cs="Arial"/>
          <w:color w:val="FF0000"/>
          <w:sz w:val="20"/>
          <w:szCs w:val="20"/>
        </w:rPr>
      </w:pPr>
    </w:p>
    <w:p w:rsidR="00CA7D8E" w:rsidRPr="001B1B14" w:rsidRDefault="00CA7D8E" w:rsidP="00CA7D8E">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1B1B14">
        <w:rPr>
          <w:rFonts w:ascii="Arial" w:eastAsia="Times New Roman" w:hAnsi="Arial" w:cs="Arial"/>
          <w:b/>
          <w:bCs/>
          <w:sz w:val="20"/>
          <w:szCs w:val="20"/>
          <w:lang w:eastAsia="pt-BR"/>
        </w:rPr>
        <w:t>Orientações práticas:</w:t>
      </w:r>
    </w:p>
    <w:p w:rsidR="00CA7D8E" w:rsidRPr="001B1B14" w:rsidRDefault="00CA7D8E" w:rsidP="00CA7D8E">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p>
    <w:p w:rsidR="00CA7D8E" w:rsidRPr="001B1B14" w:rsidRDefault="00CA7D8E" w:rsidP="00CA7D8E">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1B1B14">
        <w:rPr>
          <w:rFonts w:ascii="Arial" w:eastAsia="Times New Roman" w:hAnsi="Arial" w:cs="Arial"/>
          <w:sz w:val="20"/>
          <w:szCs w:val="20"/>
          <w:lang w:eastAsia="pt-BR"/>
        </w:rPr>
        <w:t xml:space="preserve">Conforme esclarecido na minuta de edital, em relação a comprovação da regularidade fiscal </w:t>
      </w:r>
      <w:r w:rsidRPr="001B1B14">
        <w:rPr>
          <w:rFonts w:ascii="Arial" w:eastAsia="Times New Roman" w:hAnsi="Arial" w:cs="Arial"/>
          <w:b/>
          <w:bCs/>
          <w:sz w:val="20"/>
          <w:szCs w:val="20"/>
          <w:u w:val="single"/>
          <w:lang w:eastAsia="pt-BR"/>
        </w:rPr>
        <w:t>da sede ou domicílio do licitante</w:t>
      </w:r>
      <w:r w:rsidRPr="001B1B14">
        <w:rPr>
          <w:rFonts w:ascii="Arial" w:eastAsia="Times New Roman" w:hAnsi="Arial" w:cs="Arial"/>
          <w:sz w:val="20"/>
          <w:szCs w:val="20"/>
          <w:lang w:eastAsia="pt-BR"/>
        </w:rPr>
        <w:t xml:space="preserve">, a Administração Pública Estadual deve fazê-lo apenas quanto aos tributos incidentes </w:t>
      </w:r>
      <w:r w:rsidRPr="001B1B14">
        <w:rPr>
          <w:rFonts w:ascii="Arial" w:eastAsia="Times New Roman" w:hAnsi="Arial" w:cs="Arial"/>
          <w:sz w:val="20"/>
          <w:szCs w:val="20"/>
          <w:u w:val="single"/>
          <w:lang w:eastAsia="pt-BR"/>
        </w:rPr>
        <w:t>sobre o objeto da contratação pretendida</w:t>
      </w:r>
      <w:r w:rsidRPr="001B1B14">
        <w:rPr>
          <w:rFonts w:ascii="Arial" w:eastAsia="Times New Roman" w:hAnsi="Arial" w:cs="Arial"/>
          <w:sz w:val="20"/>
          <w:szCs w:val="20"/>
          <w:lang w:eastAsia="pt-BR"/>
        </w:rPr>
        <w:t xml:space="preserve">. </w:t>
      </w:r>
    </w:p>
    <w:p w:rsidR="00CA7D8E" w:rsidRPr="001B1B14" w:rsidRDefault="00CA7D8E" w:rsidP="00CA7D8E">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1B1B14">
        <w:rPr>
          <w:rFonts w:ascii="Arial" w:eastAsia="Times New Roman" w:hAnsi="Arial" w:cs="Arial"/>
          <w:sz w:val="20"/>
          <w:szCs w:val="20"/>
          <w:lang w:eastAsia="pt-BR"/>
        </w:rPr>
        <w:t>Portanto, em reforço às orientações feitas naquela oportunidade, é necessário que a equipe de planejamento indique expressamente no subitem 8.5.4.4 do edital se o licitante deverá comprovar a regularidade fiscal em relação ao ISS, ICMS, ou de ambos, a depender da incidência tributária sobre o objeto da contratação.</w:t>
      </w:r>
    </w:p>
    <w:p w:rsidR="00CA7D8E" w:rsidRPr="00540946" w:rsidRDefault="00CA7D8E" w:rsidP="00CA7D8E">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1B1B14">
        <w:rPr>
          <w:rFonts w:ascii="Arial" w:eastAsia="Times New Roman" w:hAnsi="Arial" w:cs="Arial"/>
          <w:sz w:val="20"/>
          <w:szCs w:val="20"/>
          <w:lang w:eastAsia="pt-BR"/>
        </w:rPr>
        <w:t>Assim, é possível que a equipe de planejamento, caso entenda pertinente, inclua no Termo de Referência as razões pela escolha feita, devendo essa informação ser observada na elaboração do edital, em especial no subitem 8.5.4.4.</w:t>
      </w:r>
    </w:p>
    <w:p w:rsidR="00CA7D8E" w:rsidRDefault="00CA7D8E" w:rsidP="00CA7D8E">
      <w:pPr>
        <w:spacing w:after="0" w:line="240" w:lineRule="auto"/>
        <w:jc w:val="both"/>
        <w:rPr>
          <w:rFonts w:ascii="Arial" w:eastAsia="Arial" w:hAnsi="Arial" w:cs="Arial"/>
          <w:color w:val="FF0000"/>
          <w:sz w:val="20"/>
          <w:szCs w:val="20"/>
        </w:rPr>
      </w:pPr>
    </w:p>
    <w:p w:rsidR="00CA7D8E" w:rsidRDefault="00CA7D8E" w:rsidP="00CA7D8E">
      <w:pPr>
        <w:widowControl w:val="0"/>
        <w:spacing w:after="0" w:line="240" w:lineRule="auto"/>
        <w:jc w:val="both"/>
        <w:rPr>
          <w:rFonts w:ascii="Arial" w:eastAsia="Times New Roman" w:hAnsi="Arial" w:cs="Arial"/>
          <w:b/>
          <w:bCs/>
          <w:color w:val="FF0000"/>
          <w:sz w:val="20"/>
          <w:szCs w:val="20"/>
          <w:lang w:eastAsia="ar-SA"/>
        </w:rPr>
      </w:pPr>
    </w:p>
    <w:p w:rsidR="00CA7D8E" w:rsidRDefault="00CA7D8E" w:rsidP="00CA7D8E">
      <w:pPr>
        <w:spacing w:after="0" w:line="240" w:lineRule="auto"/>
        <w:jc w:val="both"/>
        <w:rPr>
          <w:rFonts w:ascii="Arial" w:eastAsia="Times New Roman" w:hAnsi="Arial" w:cs="Arial"/>
          <w:color w:val="FF0000"/>
          <w:sz w:val="20"/>
          <w:szCs w:val="20"/>
          <w:lang w:eastAsia="pt-BR"/>
        </w:rPr>
      </w:pPr>
      <w:r w:rsidRPr="37108326">
        <w:rPr>
          <w:rFonts w:ascii="Arial" w:hAnsi="Arial" w:cs="Arial"/>
          <w:b/>
          <w:bCs/>
          <w:color w:val="FF0000"/>
          <w:sz w:val="20"/>
          <w:szCs w:val="20"/>
        </w:rPr>
        <w:t>10.2.5.</w:t>
      </w:r>
      <w:r w:rsidRPr="37108326">
        <w:rPr>
          <w:rFonts w:ascii="Arial" w:hAnsi="Arial" w:cs="Arial"/>
          <w:color w:val="FF0000"/>
          <w:sz w:val="20"/>
          <w:szCs w:val="20"/>
        </w:rPr>
        <w:t xml:space="preserve"> </w:t>
      </w:r>
      <w:r w:rsidRPr="37108326">
        <w:rPr>
          <w:rFonts w:ascii="Arial" w:eastAsia="Times New Roman" w:hAnsi="Arial" w:cs="Arial"/>
          <w:color w:val="FF0000"/>
          <w:sz w:val="20"/>
          <w:szCs w:val="20"/>
          <w:lang w:eastAsia="pt-BR"/>
        </w:rPr>
        <w:t xml:space="preserve">Como </w:t>
      </w:r>
      <w:r w:rsidRPr="37108326">
        <w:rPr>
          <w:rFonts w:ascii="Arial" w:eastAsia="Times New Roman" w:hAnsi="Arial" w:cs="Arial"/>
          <w:b/>
          <w:bCs/>
          <w:color w:val="FF0000"/>
          <w:sz w:val="20"/>
          <w:szCs w:val="20"/>
          <w:lang w:eastAsia="pt-BR"/>
        </w:rPr>
        <w:t xml:space="preserve">qualificação econômico-financeira </w:t>
      </w:r>
      <w:r w:rsidRPr="37108326">
        <w:rPr>
          <w:rFonts w:ascii="Arial" w:eastAsia="Times New Roman" w:hAnsi="Arial" w:cs="Arial"/>
          <w:color w:val="FF0000"/>
          <w:sz w:val="20"/>
          <w:szCs w:val="20"/>
          <w:lang w:eastAsia="pt-BR"/>
        </w:rPr>
        <w:t>será exigido:</w:t>
      </w:r>
    </w:p>
    <w:p w:rsidR="00CA7D8E" w:rsidRDefault="00CA7D8E" w:rsidP="00CA7D8E">
      <w:pPr>
        <w:widowControl w:val="0"/>
        <w:spacing w:after="0" w:line="240" w:lineRule="auto"/>
        <w:jc w:val="both"/>
        <w:rPr>
          <w:rFonts w:ascii="Arial" w:eastAsia="Times New Roman" w:hAnsi="Arial" w:cs="Arial"/>
          <w:b/>
          <w:bCs/>
          <w:color w:val="FF0000"/>
          <w:sz w:val="20"/>
          <w:szCs w:val="20"/>
          <w:lang w:eastAsia="ar-SA"/>
        </w:rPr>
      </w:pPr>
    </w:p>
    <w:p w:rsidR="00CA7D8E" w:rsidRDefault="00CA7D8E" w:rsidP="00CA7D8E">
      <w:pPr>
        <w:widowControl w:val="0"/>
        <w:spacing w:after="0" w:line="240" w:lineRule="auto"/>
        <w:jc w:val="both"/>
        <w:rPr>
          <w:rFonts w:ascii="Arial" w:eastAsia="Times New Roman" w:hAnsi="Arial" w:cs="Arial"/>
          <w:color w:val="FF0000"/>
          <w:sz w:val="20"/>
          <w:szCs w:val="20"/>
          <w:lang w:eastAsia="ar-SA"/>
        </w:rPr>
      </w:pPr>
      <w:r w:rsidRPr="37108326">
        <w:rPr>
          <w:rFonts w:ascii="Arial" w:eastAsia="Times New Roman" w:hAnsi="Arial" w:cs="Arial"/>
          <w:b/>
          <w:bCs/>
          <w:color w:val="FF0000"/>
          <w:sz w:val="20"/>
          <w:szCs w:val="20"/>
          <w:lang w:eastAsia="ar-SA"/>
        </w:rPr>
        <w:t>(...)</w:t>
      </w:r>
    </w:p>
    <w:p w:rsidR="00CA7D8E" w:rsidRDefault="00CA7D8E" w:rsidP="00CA7D8E">
      <w:pPr>
        <w:spacing w:after="0" w:line="240" w:lineRule="auto"/>
        <w:jc w:val="both"/>
        <w:rPr>
          <w:rFonts w:ascii="Arial" w:eastAsia="Arial" w:hAnsi="Arial" w:cs="Arial"/>
          <w:color w:val="FF0000"/>
          <w:sz w:val="20"/>
          <w:szCs w:val="20"/>
        </w:rPr>
      </w:pPr>
    </w:p>
    <w:p w:rsidR="00CA7D8E" w:rsidRPr="001B1B14" w:rsidRDefault="00CA7D8E" w:rsidP="00CA7D8E">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1B1B14">
        <w:rPr>
          <w:rFonts w:ascii="Arial" w:eastAsia="Times New Roman" w:hAnsi="Arial" w:cs="Arial"/>
          <w:b/>
          <w:bCs/>
          <w:sz w:val="20"/>
          <w:szCs w:val="20"/>
          <w:lang w:eastAsia="pt-BR"/>
        </w:rPr>
        <w:t>Orientações práticas:</w:t>
      </w:r>
    </w:p>
    <w:p w:rsidR="00CA7D8E" w:rsidRPr="001B1B14" w:rsidRDefault="00CA7D8E" w:rsidP="00CA7D8E">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p>
    <w:p w:rsidR="00CA7D8E" w:rsidRPr="001B1B14" w:rsidRDefault="00CA7D8E" w:rsidP="00CA7D8E">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1B1B14">
        <w:rPr>
          <w:rFonts w:ascii="Arial" w:eastAsia="Times New Roman" w:hAnsi="Arial" w:cs="Arial"/>
          <w:sz w:val="20"/>
          <w:szCs w:val="20"/>
          <w:lang w:eastAsia="pt-BR"/>
        </w:rPr>
        <w:t xml:space="preserve">Quando exigida a comprovação da boa situação financeira do licitante, a equipe de planejamento responsável pela elaboração do termo de referência </w:t>
      </w:r>
      <w:r w:rsidRPr="001B1B14">
        <w:rPr>
          <w:rFonts w:ascii="Arial" w:eastAsia="Times New Roman" w:hAnsi="Arial" w:cs="Arial"/>
          <w:b/>
          <w:bCs/>
          <w:sz w:val="20"/>
          <w:szCs w:val="20"/>
          <w:lang w:eastAsia="pt-BR"/>
        </w:rPr>
        <w:t>d</w:t>
      </w:r>
      <w:r w:rsidRPr="001B1B14">
        <w:rPr>
          <w:rFonts w:ascii="Arial" w:eastAsia="Times New Roman" w:hAnsi="Arial" w:cs="Arial"/>
          <w:b/>
          <w:bCs/>
          <w:sz w:val="20"/>
          <w:szCs w:val="20"/>
          <w:u w:val="single"/>
          <w:lang w:eastAsia="pt-BR"/>
        </w:rPr>
        <w:t>everá justificar</w:t>
      </w:r>
      <w:r w:rsidRPr="001B1B14">
        <w:rPr>
          <w:rFonts w:ascii="Arial" w:eastAsia="Times New Roman" w:hAnsi="Arial" w:cs="Arial"/>
          <w:sz w:val="20"/>
          <w:szCs w:val="20"/>
          <w:u w:val="single"/>
          <w:lang w:eastAsia="pt-BR"/>
        </w:rPr>
        <w:t xml:space="preserve"> essa necessidade e expor </w:t>
      </w:r>
      <w:r w:rsidRPr="001B1B14">
        <w:rPr>
          <w:rFonts w:ascii="Arial" w:eastAsia="Times New Roman" w:hAnsi="Arial" w:cs="Arial"/>
          <w:b/>
          <w:bCs/>
          <w:sz w:val="20"/>
          <w:szCs w:val="20"/>
          <w:u w:val="single"/>
          <w:lang w:eastAsia="pt-BR"/>
        </w:rPr>
        <w:t>as razões da escolha do índice</w:t>
      </w:r>
      <w:r w:rsidRPr="001B1B14">
        <w:rPr>
          <w:rFonts w:ascii="Arial" w:eastAsia="Times New Roman" w:hAnsi="Arial" w:cs="Arial"/>
          <w:sz w:val="20"/>
          <w:szCs w:val="20"/>
          <w:u w:val="single"/>
          <w:lang w:eastAsia="pt-BR"/>
        </w:rPr>
        <w:t xml:space="preserve"> adotado como critério para habilitação econômico-financeira</w:t>
      </w:r>
      <w:r w:rsidRPr="001B1B14">
        <w:rPr>
          <w:rFonts w:ascii="Arial" w:eastAsia="Times New Roman" w:hAnsi="Arial" w:cs="Arial"/>
          <w:sz w:val="20"/>
          <w:szCs w:val="20"/>
          <w:lang w:eastAsia="pt-BR"/>
        </w:rPr>
        <w:t>.</w:t>
      </w:r>
    </w:p>
    <w:p w:rsidR="00CA7D8E" w:rsidRPr="001B1B14" w:rsidRDefault="00CA7D8E" w:rsidP="00CA7D8E">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1B1B14">
        <w:rPr>
          <w:rFonts w:ascii="Arial" w:eastAsia="Times New Roman" w:hAnsi="Arial" w:cs="Arial"/>
          <w:sz w:val="20"/>
          <w:szCs w:val="20"/>
          <w:lang w:eastAsia="pt-BR"/>
        </w:rPr>
        <w:t xml:space="preserve">Cumpre esclarecer que </w:t>
      </w:r>
      <w:r w:rsidRPr="001B1B14">
        <w:rPr>
          <w:rFonts w:ascii="Arial" w:eastAsia="Times New Roman" w:hAnsi="Arial" w:cs="Arial"/>
          <w:sz w:val="20"/>
          <w:szCs w:val="20"/>
          <w:u w:val="single"/>
          <w:lang w:eastAsia="pt-BR"/>
        </w:rPr>
        <w:t xml:space="preserve">na minuta de edital consta uma </w:t>
      </w:r>
      <w:r w:rsidRPr="001B1B14">
        <w:rPr>
          <w:rFonts w:ascii="Arial" w:eastAsia="Times New Roman" w:hAnsi="Arial" w:cs="Arial"/>
          <w:b/>
          <w:bCs/>
          <w:sz w:val="20"/>
          <w:szCs w:val="20"/>
          <w:u w:val="single"/>
          <w:lang w:eastAsia="pt-BR"/>
        </w:rPr>
        <w:t xml:space="preserve">sugestão </w:t>
      </w:r>
      <w:r w:rsidRPr="001B1B14">
        <w:rPr>
          <w:rFonts w:ascii="Arial" w:eastAsia="Times New Roman" w:hAnsi="Arial" w:cs="Arial"/>
          <w:sz w:val="20"/>
          <w:szCs w:val="20"/>
          <w:u w:val="single"/>
          <w:lang w:eastAsia="pt-BR"/>
        </w:rPr>
        <w:t>de índice a ser utilizado para fins de qualificação econômico-financeira, o que n</w:t>
      </w:r>
      <w:r w:rsidRPr="001B1B14">
        <w:rPr>
          <w:rFonts w:ascii="Arial" w:eastAsia="Times New Roman" w:hAnsi="Arial" w:cs="Arial"/>
          <w:b/>
          <w:bCs/>
          <w:sz w:val="20"/>
          <w:szCs w:val="20"/>
          <w:u w:val="single"/>
          <w:lang w:eastAsia="pt-BR"/>
        </w:rPr>
        <w:t>ão afasta a necessidade de se apresentar a justificativa para a sua utilização, nem mesmo impede a escolha de índice diverso</w:t>
      </w:r>
      <w:r w:rsidRPr="001B1B14">
        <w:rPr>
          <w:rFonts w:ascii="Arial" w:eastAsia="Times New Roman" w:hAnsi="Arial" w:cs="Arial"/>
          <w:sz w:val="20"/>
          <w:szCs w:val="20"/>
          <w:lang w:eastAsia="pt-BR"/>
        </w:rPr>
        <w:t>.</w:t>
      </w:r>
    </w:p>
    <w:p w:rsidR="00CA7D8E" w:rsidRDefault="00CA7D8E" w:rsidP="00CA7D8E">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1B1B14">
        <w:rPr>
          <w:rFonts w:ascii="Arial" w:eastAsia="Times New Roman" w:hAnsi="Arial" w:cs="Arial"/>
          <w:sz w:val="20"/>
          <w:szCs w:val="20"/>
          <w:lang w:eastAsia="pt-BR"/>
        </w:rPr>
        <w:t>Ademais, é recomendável a previsão de outro critério para a comprovação da boa situação financeira, caso a licitante não atinja o índice previsto como critério para habilitação, a fim de evitar possível restrição ao caráter competitivo do certame.</w:t>
      </w:r>
    </w:p>
    <w:p w:rsidR="00CA7D8E" w:rsidRDefault="00CA7D8E" w:rsidP="00CA7D8E">
      <w:pPr>
        <w:spacing w:after="0" w:line="240" w:lineRule="auto"/>
        <w:jc w:val="both"/>
        <w:rPr>
          <w:rFonts w:ascii="Arial" w:eastAsia="Arial" w:hAnsi="Arial" w:cs="Arial"/>
          <w:color w:val="FF0000"/>
          <w:sz w:val="20"/>
          <w:szCs w:val="20"/>
        </w:rPr>
      </w:pPr>
    </w:p>
    <w:p w:rsidR="00CA7D8E" w:rsidRPr="007C77ED" w:rsidRDefault="00CA7D8E" w:rsidP="00CA7D8E">
      <w:pPr>
        <w:spacing w:after="200" w:line="276" w:lineRule="auto"/>
        <w:rPr>
          <w:rFonts w:ascii="Arial" w:hAnsi="Arial" w:cs="Arial"/>
          <w:b/>
          <w:sz w:val="20"/>
        </w:rPr>
      </w:pPr>
      <w:r w:rsidRPr="007C77ED">
        <w:rPr>
          <w:rFonts w:ascii="Arial" w:hAnsi="Arial" w:cs="Arial"/>
          <w:b/>
          <w:sz w:val="20"/>
        </w:rPr>
        <w:t xml:space="preserve">10.3. DA SUSTENTABILIDADE </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b/>
          <w:bCs/>
          <w:sz w:val="20"/>
          <w:szCs w:val="20"/>
        </w:rPr>
      </w:pPr>
      <w:r w:rsidRPr="007C77ED">
        <w:rPr>
          <w:rFonts w:ascii="Arial" w:hAnsi="Arial" w:cs="Arial"/>
          <w:b/>
          <w:bCs/>
          <w:sz w:val="20"/>
          <w:szCs w:val="20"/>
        </w:rPr>
        <w:t>Orientações práticas:</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b/>
          <w:sz w:val="20"/>
          <w:szCs w:val="20"/>
        </w:rPr>
      </w:pPr>
      <w:r w:rsidRPr="007C77ED">
        <w:rPr>
          <w:rFonts w:ascii="Arial" w:hAnsi="Arial" w:cs="Arial"/>
          <w:sz w:val="20"/>
          <w:szCs w:val="20"/>
        </w:rPr>
        <w:t>O campo deverá indicar as práticas de sustentabilidade aplicáveis ao objeto</w:t>
      </w:r>
    </w:p>
    <w:p w:rsidR="00CA7D8E" w:rsidRPr="007C77ED" w:rsidRDefault="00CA7D8E" w:rsidP="00CA7D8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Arial" w:hAnsi="Arial" w:cs="Arial"/>
          <w:b/>
          <w:sz w:val="20"/>
          <w:szCs w:val="20"/>
        </w:rPr>
      </w:pPr>
      <w:r w:rsidRPr="007C77ED">
        <w:rPr>
          <w:rFonts w:ascii="Arial" w:hAnsi="Arial" w:cs="Arial"/>
          <w:sz w:val="20"/>
          <w:szCs w:val="20"/>
        </w:rPr>
        <w:t>Para promover a escolha do(s) critério(s) de sustentabilidade em um determinado certame é indispensável que a Administração Pública, na fase de planejamento da contratação: (a) avalie se o critério de sustentabilidade escolhido possui um nexo de pertinência com o objeto que se está contratando; (b) indique os atos normativos que dê suporte para sua exigência; (c)fixe parâmetros objetivos no instrumento convocatório que permitam avaliar o cumprimento ou não dos critérios de sustentabilidade, atentando-se para as práticas de mercado e as exigências legais.</w:t>
      </w:r>
    </w:p>
    <w:p w:rsidR="00CA7D8E" w:rsidRPr="007C77ED" w:rsidRDefault="00CA7D8E" w:rsidP="00CA7D8E">
      <w:pPr>
        <w:spacing w:after="200" w:line="276" w:lineRule="auto"/>
        <w:rPr>
          <w:rFonts w:ascii="Arial" w:hAnsi="Arial" w:cs="Arial"/>
          <w:b/>
          <w:sz w:val="20"/>
        </w:rPr>
      </w:pPr>
    </w:p>
    <w:p w:rsidR="00CA7D8E" w:rsidRPr="007C77ED" w:rsidRDefault="00CA7D8E" w:rsidP="00CA7D8E">
      <w:pPr>
        <w:spacing w:after="200" w:line="276" w:lineRule="auto"/>
        <w:rPr>
          <w:rFonts w:ascii="Arial" w:hAnsi="Arial" w:cs="Arial"/>
          <w:b/>
          <w:sz w:val="20"/>
        </w:rPr>
      </w:pPr>
      <w:r w:rsidRPr="007C77ED">
        <w:rPr>
          <w:rFonts w:ascii="Arial" w:hAnsi="Arial" w:cs="Arial"/>
          <w:b/>
          <w:sz w:val="20"/>
        </w:rPr>
        <w:t xml:space="preserve">10.4. OBRIGAÇÕES ESPECÍFICAS DA CONTRATADA </w:t>
      </w:r>
    </w:p>
    <w:p w:rsidR="00CA7D8E" w:rsidRPr="007C77ED" w:rsidRDefault="00CA7D8E" w:rsidP="00CA7D8E">
      <w:pPr>
        <w:spacing w:after="200" w:line="276" w:lineRule="auto"/>
        <w:jc w:val="both"/>
        <w:rPr>
          <w:rFonts w:ascii="Arial" w:hAnsi="Arial" w:cs="Arial"/>
          <w:color w:val="000000" w:themeColor="text1"/>
          <w:sz w:val="20"/>
        </w:rPr>
      </w:pPr>
      <w:r w:rsidRPr="007C77ED">
        <w:rPr>
          <w:rFonts w:ascii="Arial" w:hAnsi="Arial" w:cs="Arial"/>
          <w:b/>
          <w:color w:val="000000" w:themeColor="text1"/>
          <w:sz w:val="20"/>
        </w:rPr>
        <w:t>10.4.1.</w:t>
      </w:r>
      <w:r w:rsidRPr="007C77ED">
        <w:rPr>
          <w:rFonts w:ascii="Arial" w:hAnsi="Arial" w:cs="Arial"/>
          <w:color w:val="000000" w:themeColor="text1"/>
          <w:sz w:val="20"/>
        </w:rPr>
        <w:t xml:space="preserve"> Apresentar no momento da entrega dos medicamentos cópia do Alvará ou Certificado de Licença Sanitária do veículo que os transportou, pertinente com os medicamentos ofertados e expedido pelo órgão competente da sua respectiva esfera Estadual ou Municipal, em cumprimento ao disposto no artigo 61 da Lei Federal </w:t>
      </w:r>
      <w:proofErr w:type="gramStart"/>
      <w:r w:rsidRPr="007C77ED">
        <w:rPr>
          <w:rFonts w:ascii="Arial" w:hAnsi="Arial" w:cs="Arial"/>
          <w:color w:val="000000" w:themeColor="text1"/>
          <w:sz w:val="20"/>
        </w:rPr>
        <w:t>n.º</w:t>
      </w:r>
      <w:proofErr w:type="gramEnd"/>
      <w:r w:rsidRPr="007C77ED">
        <w:rPr>
          <w:rFonts w:ascii="Arial" w:hAnsi="Arial" w:cs="Arial"/>
          <w:color w:val="000000" w:themeColor="text1"/>
          <w:sz w:val="20"/>
        </w:rPr>
        <w:t xml:space="preserve"> 6.360/76 e art. 15, do Decreto Federal n.º 8.077/2013.</w:t>
      </w:r>
    </w:p>
    <w:p w:rsidR="00CA7D8E" w:rsidRPr="007C77ED" w:rsidRDefault="00CA7D8E" w:rsidP="00CA7D8E">
      <w:pPr>
        <w:spacing w:after="200" w:line="276" w:lineRule="auto"/>
        <w:rPr>
          <w:rFonts w:ascii="Arial" w:hAnsi="Arial" w:cs="Arial"/>
          <w:color w:val="FF0000"/>
          <w:sz w:val="20"/>
        </w:rPr>
      </w:pPr>
      <w:r w:rsidRPr="007C77ED">
        <w:rPr>
          <w:rFonts w:ascii="Arial" w:hAnsi="Arial" w:cs="Arial"/>
          <w:b/>
          <w:color w:val="FF0000"/>
          <w:sz w:val="20"/>
        </w:rPr>
        <w:t>10.4.1.1.</w:t>
      </w:r>
      <w:r w:rsidRPr="007C77ED">
        <w:rPr>
          <w:rFonts w:ascii="Arial" w:hAnsi="Arial" w:cs="Arial"/>
          <w:color w:val="FF0000"/>
          <w:sz w:val="20"/>
        </w:rPr>
        <w:t xml:space="preserve"> Caso admitida a subcontratação do transporte, permanece a responsabilidade integral da contratada pela perfeita execução contratual, nos termos do item 6.3 deste Termo de Referência.</w:t>
      </w:r>
    </w:p>
    <w:p w:rsidR="00CA7D8E" w:rsidRPr="007C77ED" w:rsidRDefault="00CA7D8E" w:rsidP="00CA7D8E">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sz w:val="20"/>
          <w:szCs w:val="20"/>
          <w:lang w:eastAsia="ar-SA"/>
        </w:rPr>
      </w:pPr>
      <w:r w:rsidRPr="007C77ED">
        <w:rPr>
          <w:rFonts w:ascii="Arial" w:eastAsia="Times New Roman" w:hAnsi="Arial" w:cs="Arial"/>
          <w:b/>
          <w:sz w:val="20"/>
          <w:szCs w:val="20"/>
          <w:lang w:eastAsia="ar-SA"/>
        </w:rPr>
        <w:t>Nota explicativa</w:t>
      </w:r>
      <w:r w:rsidRPr="007C77ED">
        <w:rPr>
          <w:rFonts w:ascii="Arial" w:eastAsia="Times New Roman" w:hAnsi="Arial" w:cs="Arial"/>
          <w:sz w:val="20"/>
          <w:szCs w:val="20"/>
          <w:lang w:eastAsia="ar-SA"/>
        </w:rPr>
        <w:t xml:space="preserve">: A redação do subitem 10.4.1.1 somente deverá ser utilizada na hipótese em que se admita a subcontratação, observada a escolha adotada no item 6.3 do Termo de Referência. </w:t>
      </w:r>
    </w:p>
    <w:p w:rsidR="00CA7D8E" w:rsidRPr="007C77ED" w:rsidRDefault="00CA7D8E" w:rsidP="00CA7D8E">
      <w:pPr>
        <w:spacing w:after="0" w:line="240" w:lineRule="auto"/>
        <w:jc w:val="both"/>
        <w:rPr>
          <w:rFonts w:ascii="Arial" w:hAnsi="Arial" w:cs="Arial"/>
          <w:b/>
          <w:color w:val="FF0000"/>
          <w:sz w:val="20"/>
        </w:rPr>
      </w:pPr>
    </w:p>
    <w:p w:rsidR="00CA7D8E" w:rsidRPr="007C77ED" w:rsidRDefault="00CA7D8E" w:rsidP="00CA7D8E">
      <w:pPr>
        <w:spacing w:after="0" w:line="240" w:lineRule="auto"/>
        <w:jc w:val="both"/>
        <w:rPr>
          <w:rFonts w:ascii="Arial" w:eastAsia="Times New Roman" w:hAnsi="Arial" w:cs="Arial"/>
          <w:sz w:val="20"/>
          <w:szCs w:val="20"/>
          <w:lang w:eastAsia="pt-BR"/>
        </w:rPr>
      </w:pPr>
    </w:p>
    <w:p w:rsidR="00CA7D8E" w:rsidRPr="007C77ED" w:rsidRDefault="00CA7D8E" w:rsidP="00CA7D8E">
      <w:pPr>
        <w:spacing w:after="0" w:line="240" w:lineRule="auto"/>
        <w:jc w:val="both"/>
        <w:rPr>
          <w:rFonts w:ascii="Arial" w:eastAsia="Times New Roman" w:hAnsi="Arial" w:cs="Arial"/>
          <w:b/>
          <w:color w:val="FF0000"/>
          <w:sz w:val="20"/>
          <w:szCs w:val="20"/>
          <w:lang w:eastAsia="pt-BR"/>
        </w:rPr>
      </w:pPr>
      <w:r w:rsidRPr="007C77ED">
        <w:rPr>
          <w:rFonts w:ascii="Arial" w:eastAsia="Times New Roman" w:hAnsi="Arial" w:cs="Arial"/>
          <w:b/>
          <w:color w:val="FF0000"/>
          <w:sz w:val="20"/>
          <w:szCs w:val="20"/>
          <w:lang w:eastAsia="pt-BR"/>
        </w:rPr>
        <w:t>10.5. OBRIGAÇÕES ESPECÍFICAS DA CONTRATANTE</w:t>
      </w:r>
    </w:p>
    <w:p w:rsidR="00CA7D8E" w:rsidRPr="007C77ED" w:rsidRDefault="00CA7D8E" w:rsidP="00CA7D8E">
      <w:pPr>
        <w:spacing w:after="0" w:line="240" w:lineRule="auto"/>
        <w:jc w:val="both"/>
        <w:rPr>
          <w:rFonts w:ascii="Arial" w:eastAsia="Times New Roman" w:hAnsi="Arial" w:cs="Arial"/>
          <w:b/>
          <w:color w:val="FF0000"/>
          <w:sz w:val="20"/>
          <w:szCs w:val="20"/>
          <w:lang w:eastAsia="pt-BR"/>
        </w:rPr>
      </w:pPr>
      <w:r w:rsidRPr="007C77ED">
        <w:rPr>
          <w:rFonts w:ascii="Arial" w:eastAsia="Times New Roman" w:hAnsi="Arial" w:cs="Arial"/>
          <w:b/>
          <w:color w:val="FF0000"/>
          <w:sz w:val="20"/>
          <w:szCs w:val="20"/>
          <w:lang w:eastAsia="pt-BR"/>
        </w:rPr>
        <w:t>(...)</w:t>
      </w:r>
    </w:p>
    <w:p w:rsidR="00CA7D8E" w:rsidRPr="007C77ED" w:rsidRDefault="00CA7D8E" w:rsidP="00CA7D8E">
      <w:pPr>
        <w:spacing w:after="0" w:line="240" w:lineRule="auto"/>
        <w:jc w:val="both"/>
        <w:rPr>
          <w:rFonts w:ascii="Arial" w:eastAsia="Times New Roman" w:hAnsi="Arial" w:cs="Arial"/>
          <w:b/>
          <w:color w:val="FF0000"/>
          <w:sz w:val="20"/>
          <w:szCs w:val="20"/>
          <w:lang w:eastAsia="pt-BR"/>
        </w:rPr>
      </w:pPr>
    </w:p>
    <w:p w:rsidR="00CA7D8E" w:rsidRPr="007C77ED" w:rsidRDefault="00CA7D8E" w:rsidP="00CA7D8E">
      <w:pPr>
        <w:spacing w:after="0" w:line="240" w:lineRule="auto"/>
        <w:jc w:val="both"/>
        <w:rPr>
          <w:rFonts w:ascii="Arial" w:eastAsia="Times New Roman" w:hAnsi="Arial" w:cs="Arial"/>
          <w:b/>
          <w:color w:val="FF0000"/>
          <w:sz w:val="20"/>
          <w:szCs w:val="20"/>
          <w:lang w:eastAsia="pt-BR"/>
        </w:rPr>
      </w:pPr>
      <w:r w:rsidRPr="007C77ED">
        <w:rPr>
          <w:rFonts w:ascii="Arial" w:eastAsia="Times New Roman" w:hAnsi="Arial" w:cs="Arial"/>
          <w:b/>
          <w:color w:val="FF0000"/>
          <w:sz w:val="20"/>
          <w:szCs w:val="20"/>
          <w:lang w:eastAsia="pt-BR"/>
        </w:rPr>
        <w:t>10.6. AMOSTRA</w:t>
      </w:r>
    </w:p>
    <w:p w:rsidR="00CA7D8E" w:rsidRPr="007C77ED" w:rsidRDefault="00CA7D8E" w:rsidP="00CA7D8E">
      <w:pPr>
        <w:spacing w:after="0" w:line="240" w:lineRule="auto"/>
        <w:jc w:val="both"/>
        <w:rPr>
          <w:rFonts w:ascii="Arial" w:eastAsia="Times New Roman" w:hAnsi="Arial" w:cs="Arial"/>
          <w:color w:val="FF0000"/>
          <w:sz w:val="20"/>
          <w:szCs w:val="20"/>
          <w:lang w:eastAsia="pt-BR"/>
        </w:rPr>
      </w:pPr>
      <w:r w:rsidRPr="007C77ED">
        <w:rPr>
          <w:rFonts w:ascii="Arial" w:eastAsia="Times New Roman" w:hAnsi="Arial" w:cs="Arial"/>
          <w:color w:val="FF0000"/>
          <w:sz w:val="20"/>
          <w:szCs w:val="20"/>
          <w:lang w:eastAsia="pt-BR"/>
        </w:rPr>
        <w:t>(...)</w:t>
      </w:r>
    </w:p>
    <w:p w:rsidR="00CA7D8E" w:rsidRPr="007C77ED" w:rsidRDefault="00CA7D8E" w:rsidP="00CA7D8E">
      <w:pPr>
        <w:spacing w:after="0" w:line="240" w:lineRule="auto"/>
        <w:jc w:val="both"/>
        <w:rPr>
          <w:rFonts w:ascii="Arial" w:eastAsia="Times New Roman" w:hAnsi="Arial" w:cs="Arial"/>
          <w:b/>
          <w:color w:val="FF0000"/>
          <w:sz w:val="20"/>
          <w:szCs w:val="20"/>
          <w:lang w:eastAsia="pt-BR"/>
        </w:rPr>
      </w:pPr>
    </w:p>
    <w:p w:rsidR="00CA7D8E" w:rsidRPr="007C77ED" w:rsidRDefault="00CA7D8E" w:rsidP="00CA7D8E">
      <w:pPr>
        <w:spacing w:after="0" w:line="240" w:lineRule="auto"/>
        <w:jc w:val="both"/>
        <w:rPr>
          <w:rFonts w:ascii="Arial" w:eastAsia="Times New Roman" w:hAnsi="Arial" w:cs="Arial"/>
          <w:b/>
          <w:color w:val="FF0000"/>
          <w:sz w:val="20"/>
          <w:szCs w:val="20"/>
          <w:lang w:eastAsia="pt-BR"/>
        </w:rPr>
      </w:pPr>
      <w:r w:rsidRPr="007C77ED">
        <w:rPr>
          <w:rFonts w:ascii="Arial" w:eastAsia="Times New Roman" w:hAnsi="Arial" w:cs="Arial"/>
          <w:b/>
          <w:color w:val="FF0000"/>
          <w:sz w:val="20"/>
          <w:szCs w:val="20"/>
          <w:lang w:eastAsia="pt-BR"/>
        </w:rPr>
        <w:t>10.7. GARANTIA CONTRATUAL</w:t>
      </w:r>
    </w:p>
    <w:p w:rsidR="00CA7D8E" w:rsidRPr="007C77ED" w:rsidRDefault="00CA7D8E" w:rsidP="00CA7D8E">
      <w:pPr>
        <w:spacing w:after="0" w:line="240" w:lineRule="auto"/>
        <w:jc w:val="both"/>
        <w:rPr>
          <w:rFonts w:ascii="Arial" w:eastAsia="Times New Roman" w:hAnsi="Arial" w:cs="Arial"/>
          <w:b/>
          <w:color w:val="FF0000"/>
          <w:sz w:val="20"/>
          <w:szCs w:val="20"/>
          <w:lang w:eastAsia="pt-BR"/>
        </w:rPr>
      </w:pPr>
      <w:r w:rsidRPr="007C77ED">
        <w:rPr>
          <w:rFonts w:ascii="Arial" w:eastAsia="Times New Roman" w:hAnsi="Arial" w:cs="Arial"/>
          <w:b/>
          <w:color w:val="FF0000"/>
          <w:sz w:val="20"/>
          <w:szCs w:val="20"/>
          <w:lang w:eastAsia="pt-BR"/>
        </w:rPr>
        <w:t>(...)</w:t>
      </w:r>
    </w:p>
    <w:p w:rsidR="00CA7D8E" w:rsidRPr="007C77ED" w:rsidRDefault="00CA7D8E" w:rsidP="00CA7D8E">
      <w:pPr>
        <w:spacing w:after="0" w:line="240" w:lineRule="auto"/>
        <w:jc w:val="both"/>
        <w:rPr>
          <w:rFonts w:ascii="Arial" w:eastAsia="Times New Roman" w:hAnsi="Arial" w:cs="Arial"/>
          <w:b/>
          <w:color w:val="FF0000"/>
          <w:sz w:val="20"/>
          <w:szCs w:val="20"/>
          <w:lang w:eastAsia="pt-BR"/>
        </w:rPr>
      </w:pPr>
    </w:p>
    <w:p w:rsidR="00CA7D8E" w:rsidRPr="007C77ED" w:rsidRDefault="00CA7D8E" w:rsidP="00CA7D8E">
      <w:pPr>
        <w:spacing w:after="0" w:line="240" w:lineRule="auto"/>
        <w:jc w:val="both"/>
        <w:rPr>
          <w:rFonts w:ascii="Arial" w:eastAsia="Times New Roman" w:hAnsi="Arial" w:cs="Arial"/>
          <w:b/>
          <w:color w:val="FF0000"/>
          <w:sz w:val="20"/>
          <w:szCs w:val="20"/>
          <w:lang w:eastAsia="pt-BR"/>
        </w:rPr>
      </w:pPr>
      <w:r w:rsidRPr="007C77ED">
        <w:rPr>
          <w:rFonts w:ascii="Arial" w:eastAsia="Times New Roman" w:hAnsi="Arial" w:cs="Arial"/>
          <w:b/>
          <w:color w:val="FF0000"/>
          <w:sz w:val="20"/>
          <w:szCs w:val="20"/>
          <w:lang w:eastAsia="pt-BR"/>
        </w:rPr>
        <w:lastRenderedPageBreak/>
        <w:t>10.8. PAGAMENTO</w:t>
      </w:r>
    </w:p>
    <w:p w:rsidR="00CA7D8E" w:rsidRPr="007C77ED" w:rsidRDefault="00CA7D8E" w:rsidP="00CA7D8E">
      <w:pPr>
        <w:spacing w:after="0" w:line="240" w:lineRule="auto"/>
        <w:jc w:val="both"/>
        <w:rPr>
          <w:rFonts w:ascii="Arial" w:eastAsia="Times New Roman" w:hAnsi="Arial" w:cs="Arial"/>
          <w:b/>
          <w:color w:val="FF0000"/>
          <w:sz w:val="20"/>
          <w:szCs w:val="20"/>
          <w:lang w:eastAsia="pt-BR"/>
        </w:rPr>
      </w:pPr>
      <w:r w:rsidRPr="007C77ED">
        <w:rPr>
          <w:rFonts w:ascii="Arial" w:eastAsia="Times New Roman" w:hAnsi="Arial" w:cs="Arial"/>
          <w:b/>
          <w:color w:val="FF0000"/>
          <w:sz w:val="20"/>
          <w:szCs w:val="20"/>
          <w:lang w:eastAsia="pt-BR"/>
        </w:rPr>
        <w:t>(...)</w:t>
      </w:r>
    </w:p>
    <w:p w:rsidR="00CA7D8E" w:rsidRPr="007C77ED" w:rsidRDefault="00CA7D8E" w:rsidP="00CA7D8E">
      <w:pPr>
        <w:spacing w:after="0" w:line="240" w:lineRule="auto"/>
        <w:jc w:val="both"/>
        <w:rPr>
          <w:rFonts w:ascii="Arial" w:eastAsia="Times New Roman" w:hAnsi="Arial" w:cs="Arial"/>
          <w:b/>
          <w:color w:val="FF0000"/>
          <w:sz w:val="20"/>
          <w:szCs w:val="20"/>
          <w:lang w:eastAsia="pt-BR"/>
        </w:rPr>
      </w:pPr>
    </w:p>
    <w:p w:rsidR="00CA7D8E" w:rsidRPr="007C77ED" w:rsidRDefault="00CA7D8E" w:rsidP="00CA7D8E">
      <w:pPr>
        <w:spacing w:after="0" w:line="240" w:lineRule="auto"/>
        <w:jc w:val="both"/>
        <w:rPr>
          <w:rFonts w:ascii="Arial" w:eastAsia="Times New Roman" w:hAnsi="Arial" w:cs="Arial"/>
          <w:b/>
          <w:color w:val="FF0000"/>
          <w:sz w:val="20"/>
          <w:szCs w:val="20"/>
          <w:lang w:eastAsia="pt-BR"/>
        </w:rPr>
      </w:pPr>
      <w:r w:rsidRPr="37108326">
        <w:rPr>
          <w:rFonts w:ascii="Arial" w:eastAsia="Times New Roman" w:hAnsi="Arial" w:cs="Arial"/>
          <w:b/>
          <w:bCs/>
          <w:color w:val="FF0000"/>
          <w:sz w:val="20"/>
          <w:szCs w:val="20"/>
          <w:lang w:eastAsia="pt-BR"/>
        </w:rPr>
        <w:t>10.9. REAJUSTE</w:t>
      </w:r>
    </w:p>
    <w:p w:rsidR="00CA7D8E" w:rsidRDefault="00CA7D8E" w:rsidP="00CA7D8E">
      <w:pPr>
        <w:spacing w:after="0" w:line="240" w:lineRule="auto"/>
        <w:jc w:val="both"/>
        <w:rPr>
          <w:rFonts w:ascii="Arial" w:eastAsia="Arial" w:hAnsi="Arial" w:cs="Arial"/>
          <w:color w:val="000000" w:themeColor="text1"/>
          <w:sz w:val="20"/>
          <w:szCs w:val="20"/>
        </w:rPr>
      </w:pPr>
    </w:p>
    <w:p w:rsidR="00CA7D8E" w:rsidRPr="00876D20" w:rsidRDefault="00CA7D8E" w:rsidP="00CA7D8E">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876D20">
        <w:rPr>
          <w:rFonts w:ascii="Arial" w:eastAsia="Times New Roman" w:hAnsi="Arial" w:cs="Arial"/>
          <w:b/>
          <w:bCs/>
          <w:sz w:val="20"/>
          <w:szCs w:val="20"/>
          <w:lang w:eastAsia="pt-BR"/>
        </w:rPr>
        <w:t>Orientações práticas:</w:t>
      </w:r>
    </w:p>
    <w:p w:rsidR="00CA7D8E" w:rsidRPr="00876D20" w:rsidRDefault="00CA7D8E" w:rsidP="00CA7D8E">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p>
    <w:p w:rsidR="00CA7D8E" w:rsidRPr="00876D20" w:rsidRDefault="00CA7D8E" w:rsidP="00CA7D8E">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r w:rsidRPr="00876D20">
        <w:rPr>
          <w:rFonts w:ascii="Arial" w:eastAsia="Times New Roman" w:hAnsi="Arial" w:cs="Arial"/>
          <w:sz w:val="20"/>
          <w:szCs w:val="20"/>
          <w:lang w:eastAsia="pt-BR"/>
        </w:rPr>
        <w:t xml:space="preserve">De acordo com o art. 40, inciso XI, da Lei nº 8.666/93, o reajuste é um elemento obrigatório do EDITAL. Por esse motivo, na minuta de Edital consta uma redação padronizada sobre a temática. </w:t>
      </w:r>
    </w:p>
    <w:p w:rsidR="00CA7D8E" w:rsidRPr="00876D20" w:rsidRDefault="00CA7D8E" w:rsidP="00CA7D8E">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r w:rsidRPr="00876D20">
        <w:rPr>
          <w:rFonts w:ascii="Arial" w:eastAsia="Times New Roman" w:hAnsi="Arial" w:cs="Arial"/>
          <w:sz w:val="20"/>
          <w:szCs w:val="20"/>
          <w:lang w:eastAsia="pt-BR"/>
        </w:rPr>
        <w:t xml:space="preserve">No entanto, cabe à equipe de planejamento indicar qual será o índice de reajuste a ser previsto no edital, considerando o objeto contratado. </w:t>
      </w:r>
    </w:p>
    <w:p w:rsidR="00CA7D8E" w:rsidRPr="00876D20" w:rsidRDefault="00CA7D8E" w:rsidP="00CA7D8E">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r w:rsidRPr="00876D20">
        <w:rPr>
          <w:rFonts w:ascii="Arial" w:eastAsia="Times New Roman" w:hAnsi="Arial" w:cs="Arial"/>
          <w:sz w:val="20"/>
          <w:szCs w:val="20"/>
          <w:lang w:eastAsia="pt-BR"/>
        </w:rPr>
        <w:t>Assim, essa informação (escolha do índice) poderá ser feita no Termo de Referência, utilizando-se do campo objeto desta orientação.</w:t>
      </w:r>
    </w:p>
    <w:p w:rsidR="00CA7D8E" w:rsidRDefault="00CA7D8E" w:rsidP="00CA7D8E">
      <w:pPr>
        <w:spacing w:after="0" w:line="240" w:lineRule="auto"/>
        <w:jc w:val="both"/>
        <w:rPr>
          <w:rFonts w:ascii="Arial" w:eastAsia="Arial" w:hAnsi="Arial" w:cs="Arial"/>
          <w:color w:val="FF0000"/>
          <w:sz w:val="20"/>
          <w:szCs w:val="20"/>
        </w:rPr>
      </w:pPr>
    </w:p>
    <w:p w:rsidR="00CA7D8E" w:rsidRDefault="00CA7D8E" w:rsidP="00CA7D8E">
      <w:pPr>
        <w:spacing w:after="0" w:line="240" w:lineRule="auto"/>
        <w:jc w:val="both"/>
        <w:rPr>
          <w:rFonts w:ascii="Arial" w:eastAsia="Arial" w:hAnsi="Arial" w:cs="Arial"/>
          <w:color w:val="FF0000"/>
          <w:sz w:val="20"/>
          <w:szCs w:val="20"/>
        </w:rPr>
      </w:pPr>
    </w:p>
    <w:p w:rsidR="00CA7D8E" w:rsidRPr="007C77ED" w:rsidRDefault="00CA7D8E" w:rsidP="00CA7D8E">
      <w:pPr>
        <w:spacing w:after="0" w:line="240" w:lineRule="auto"/>
        <w:jc w:val="both"/>
        <w:rPr>
          <w:rFonts w:ascii="Arial" w:eastAsia="Times New Roman" w:hAnsi="Arial" w:cs="Arial"/>
          <w:b/>
          <w:color w:val="FF0000"/>
          <w:sz w:val="20"/>
          <w:szCs w:val="20"/>
          <w:lang w:eastAsia="pt-BR"/>
        </w:rPr>
      </w:pPr>
      <w:r w:rsidRPr="007C77ED">
        <w:rPr>
          <w:rFonts w:ascii="Arial" w:eastAsia="Times New Roman" w:hAnsi="Arial" w:cs="Arial"/>
          <w:b/>
          <w:color w:val="FF0000"/>
          <w:sz w:val="20"/>
          <w:szCs w:val="20"/>
          <w:lang w:eastAsia="pt-BR"/>
        </w:rPr>
        <w:t>10.10. SANÇÕES ADMINISTRATIVAS</w:t>
      </w:r>
    </w:p>
    <w:p w:rsidR="00CA7D8E" w:rsidRPr="007C77ED" w:rsidRDefault="00CA7D8E" w:rsidP="00CA7D8E">
      <w:pPr>
        <w:spacing w:after="0" w:line="240" w:lineRule="auto"/>
        <w:jc w:val="both"/>
        <w:rPr>
          <w:rFonts w:ascii="Arial" w:eastAsia="Times New Roman" w:hAnsi="Arial" w:cs="Arial"/>
          <w:b/>
          <w:color w:val="FF0000"/>
          <w:sz w:val="20"/>
          <w:szCs w:val="20"/>
          <w:lang w:eastAsia="pt-BR"/>
        </w:rPr>
      </w:pPr>
      <w:r w:rsidRPr="007C77ED">
        <w:rPr>
          <w:rFonts w:ascii="Arial" w:eastAsia="Times New Roman" w:hAnsi="Arial" w:cs="Arial"/>
          <w:b/>
          <w:color w:val="FF0000"/>
          <w:sz w:val="20"/>
          <w:szCs w:val="20"/>
          <w:lang w:eastAsia="pt-BR"/>
        </w:rPr>
        <w:t>(...)</w:t>
      </w:r>
    </w:p>
    <w:p w:rsidR="00CA7D8E" w:rsidRPr="007C77ED" w:rsidRDefault="00CA7D8E" w:rsidP="00CA7D8E">
      <w:pPr>
        <w:spacing w:after="0" w:line="240" w:lineRule="auto"/>
        <w:jc w:val="both"/>
        <w:rPr>
          <w:rFonts w:ascii="Arial" w:eastAsia="Times New Roman" w:hAnsi="Arial" w:cs="Arial"/>
          <w:b/>
          <w:sz w:val="20"/>
          <w:szCs w:val="20"/>
          <w:lang w:eastAsia="pt-BR"/>
        </w:rPr>
      </w:pPr>
    </w:p>
    <w:p w:rsidR="00CA7D8E" w:rsidRPr="007C77ED" w:rsidRDefault="00CA7D8E" w:rsidP="00CA7D8E">
      <w:pPr>
        <w:spacing w:after="0" w:line="240" w:lineRule="auto"/>
        <w:jc w:val="both"/>
        <w:rPr>
          <w:rFonts w:ascii="Arial" w:eastAsia="Arial" w:hAnsi="Arial" w:cs="Arial"/>
          <w:color w:val="FF0000"/>
          <w:sz w:val="20"/>
          <w:szCs w:val="20"/>
        </w:rPr>
      </w:pPr>
      <w:r w:rsidRPr="00173F1D">
        <w:rPr>
          <w:rFonts w:ascii="Arial" w:eastAsia="Arial" w:hAnsi="Arial" w:cs="Arial"/>
          <w:b/>
          <w:bCs/>
          <w:color w:val="FF0000"/>
          <w:sz w:val="20"/>
          <w:szCs w:val="20"/>
          <w:highlight w:val="cyan"/>
        </w:rPr>
        <w:t>10.11. DA ADESÃO À ATA DE REGISTRO DE PREÇOS</w:t>
      </w:r>
    </w:p>
    <w:p w:rsidR="00CA7D8E" w:rsidRPr="007C77ED" w:rsidRDefault="00CA7D8E" w:rsidP="00CA7D8E">
      <w:pPr>
        <w:spacing w:after="0" w:line="240" w:lineRule="auto"/>
        <w:jc w:val="both"/>
        <w:rPr>
          <w:rFonts w:ascii="Times New Roman" w:eastAsia="Times New Roman" w:hAnsi="Times New Roman" w:cs="Times New Roman"/>
          <w:color w:val="FF0000"/>
          <w:sz w:val="26"/>
          <w:szCs w:val="26"/>
        </w:rPr>
      </w:pPr>
    </w:p>
    <w:p w:rsidR="00CA7D8E" w:rsidRPr="00876D20" w:rsidRDefault="00CA7D8E" w:rsidP="00CA7D8E">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r w:rsidRPr="00876D20">
        <w:rPr>
          <w:rFonts w:ascii="Arial" w:eastAsia="Times New Roman" w:hAnsi="Arial" w:cs="Arial"/>
          <w:b/>
          <w:bCs/>
          <w:sz w:val="20"/>
          <w:szCs w:val="20"/>
          <w:lang w:eastAsia="pt-BR"/>
        </w:rPr>
        <w:t>Orientações práticas:</w:t>
      </w:r>
    </w:p>
    <w:p w:rsidR="00CA7D8E" w:rsidRPr="00876D20" w:rsidRDefault="00CA7D8E" w:rsidP="00CA7D8E">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p>
    <w:p w:rsidR="00CA7D8E" w:rsidRPr="00876D20" w:rsidRDefault="00CA7D8E" w:rsidP="00CA7D8E">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876D20">
        <w:rPr>
          <w:rFonts w:ascii="Arial" w:eastAsia="Times New Roman" w:hAnsi="Arial" w:cs="Arial"/>
          <w:bCs/>
          <w:sz w:val="20"/>
          <w:szCs w:val="20"/>
          <w:lang w:eastAsia="pt-BR"/>
        </w:rPr>
        <w:t xml:space="preserve">Nas contratações processadas pelo Sistema de Registro de Preço (Decreto 15.454/2020) é necessário incluir as justificativas para permitir ou não a adesão à ata de registro de preço por órgão ou entidade da Administração Pública que não tenha participado do certame licitatório. </w:t>
      </w:r>
    </w:p>
    <w:p w:rsidR="00CA7D8E" w:rsidRPr="00876D20" w:rsidRDefault="00CA7D8E" w:rsidP="00CA7D8E">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876D20">
        <w:rPr>
          <w:rFonts w:ascii="Arial" w:eastAsia="Times New Roman" w:hAnsi="Arial" w:cs="Arial"/>
          <w:bCs/>
          <w:sz w:val="20"/>
          <w:szCs w:val="20"/>
          <w:lang w:eastAsia="pt-BR"/>
        </w:rPr>
        <w:t>Assim, nessa oportunidade, deverá ser explicitado a</w:t>
      </w:r>
      <w:r w:rsidRPr="00876D20">
        <w:rPr>
          <w:rFonts w:ascii="Arial" w:eastAsia="Times New Roman" w:hAnsi="Arial" w:cs="Arial"/>
          <w:bCs/>
          <w:sz w:val="20"/>
          <w:szCs w:val="20"/>
          <w:u w:val="single"/>
          <w:lang w:eastAsia="pt-BR"/>
        </w:rPr>
        <w:t>penas os motivos pelos quais a equipe de planejamento permitirá ou não a adesão à ARP</w:t>
      </w:r>
      <w:r w:rsidRPr="00876D20">
        <w:rPr>
          <w:rFonts w:ascii="Arial" w:eastAsia="Times New Roman" w:hAnsi="Arial" w:cs="Arial"/>
          <w:bCs/>
          <w:sz w:val="20"/>
          <w:szCs w:val="20"/>
          <w:lang w:eastAsia="pt-BR"/>
        </w:rPr>
        <w:t>.</w:t>
      </w:r>
    </w:p>
    <w:p w:rsidR="00CA7D8E" w:rsidRPr="00876D20" w:rsidRDefault="00CA7D8E" w:rsidP="00CA7D8E">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876D20">
        <w:rPr>
          <w:rFonts w:ascii="Arial" w:eastAsia="Times New Roman" w:hAnsi="Arial" w:cs="Arial"/>
          <w:bCs/>
          <w:sz w:val="20"/>
          <w:szCs w:val="20"/>
          <w:lang w:eastAsia="pt-BR"/>
        </w:rPr>
        <w:t>Destaca-se que não é necessário trazer o regramento relacionado à forma/procedimento como ocorrerá eventual adesão, vez que a minuta de edital já traz esse conteúdo como redação padronizada.</w:t>
      </w:r>
    </w:p>
    <w:p w:rsidR="00CA7D8E" w:rsidRPr="00B70279" w:rsidRDefault="00CA7D8E" w:rsidP="00CA7D8E">
      <w:pPr>
        <w:spacing w:after="0" w:line="240" w:lineRule="auto"/>
        <w:jc w:val="both"/>
        <w:rPr>
          <w:rFonts w:ascii="Arial" w:eastAsia="Times New Roman" w:hAnsi="Arial" w:cs="Arial"/>
          <w:sz w:val="20"/>
          <w:szCs w:val="20"/>
          <w:lang w:eastAsia="pt-BR"/>
        </w:rPr>
      </w:pPr>
    </w:p>
    <w:p w:rsidR="00CA7D8E" w:rsidRPr="007C77ED" w:rsidRDefault="00CA7D8E" w:rsidP="00CA7D8E">
      <w:pPr>
        <w:spacing w:after="0" w:line="240" w:lineRule="auto"/>
        <w:jc w:val="both"/>
        <w:rPr>
          <w:rFonts w:ascii="Arial" w:eastAsia="Times New Roman" w:hAnsi="Arial" w:cs="Arial"/>
          <w:b/>
          <w:bCs/>
          <w:sz w:val="20"/>
          <w:szCs w:val="20"/>
          <w:lang w:eastAsia="pt-BR"/>
        </w:rPr>
      </w:pPr>
    </w:p>
    <w:p w:rsidR="00CA7D8E" w:rsidRDefault="00CA7D8E" w:rsidP="00CA7D8E">
      <w:pPr>
        <w:spacing w:after="0" w:line="240" w:lineRule="auto"/>
        <w:jc w:val="both"/>
        <w:rPr>
          <w:rFonts w:ascii="Arial" w:eastAsia="Times New Roman" w:hAnsi="Arial" w:cs="Arial"/>
          <w:b/>
          <w:bCs/>
          <w:color w:val="FF0000"/>
          <w:sz w:val="20"/>
          <w:szCs w:val="20"/>
          <w:lang w:eastAsia="pt-BR"/>
        </w:rPr>
      </w:pPr>
      <w:r w:rsidRPr="37108326">
        <w:rPr>
          <w:rFonts w:ascii="Arial" w:eastAsia="Times New Roman" w:hAnsi="Arial" w:cs="Arial"/>
          <w:b/>
          <w:bCs/>
          <w:color w:val="FF0000"/>
          <w:sz w:val="20"/>
          <w:szCs w:val="20"/>
          <w:lang w:eastAsia="pt-BR"/>
        </w:rPr>
        <w:t>10.12. DA AMPLIAÇÃO DA COMPETITIVIDADE</w:t>
      </w:r>
    </w:p>
    <w:p w:rsidR="00CA7D8E" w:rsidRDefault="00CA7D8E" w:rsidP="00CA7D8E">
      <w:pPr>
        <w:spacing w:after="0" w:line="240" w:lineRule="auto"/>
        <w:jc w:val="both"/>
        <w:rPr>
          <w:rFonts w:ascii="Arial" w:eastAsia="Times New Roman" w:hAnsi="Arial" w:cs="Arial"/>
          <w:color w:val="FF0000"/>
          <w:sz w:val="20"/>
          <w:szCs w:val="20"/>
          <w:lang w:eastAsia="pt-BR"/>
        </w:rPr>
      </w:pPr>
    </w:p>
    <w:p w:rsidR="00CA7D8E" w:rsidRDefault="00CA7D8E" w:rsidP="00CA7D8E">
      <w:pPr>
        <w:spacing w:after="0" w:line="240" w:lineRule="auto"/>
        <w:jc w:val="both"/>
        <w:rPr>
          <w:rFonts w:ascii="Arial" w:eastAsia="Times New Roman" w:hAnsi="Arial" w:cs="Arial"/>
          <w:b/>
          <w:bCs/>
          <w:color w:val="FF0000"/>
          <w:sz w:val="20"/>
          <w:szCs w:val="20"/>
          <w:lang w:eastAsia="pt-BR"/>
        </w:rPr>
      </w:pPr>
      <w:r w:rsidRPr="37108326">
        <w:rPr>
          <w:rFonts w:ascii="Arial" w:eastAsia="Times New Roman" w:hAnsi="Arial" w:cs="Arial"/>
          <w:b/>
          <w:bCs/>
          <w:color w:val="FF0000"/>
          <w:sz w:val="20"/>
          <w:szCs w:val="20"/>
          <w:lang w:eastAsia="pt-BR"/>
        </w:rPr>
        <w:t xml:space="preserve">10.12.1. </w:t>
      </w:r>
      <w:r w:rsidRPr="37108326">
        <w:rPr>
          <w:rFonts w:ascii="Arial" w:eastAsia="Times New Roman" w:hAnsi="Arial" w:cs="Arial"/>
          <w:color w:val="FF0000"/>
          <w:sz w:val="20"/>
          <w:szCs w:val="20"/>
          <w:lang w:eastAsia="pt-BR"/>
        </w:rPr>
        <w:t xml:space="preserve">Para início da fase externa do certame, com o fito de prospectar maior número de fornecedores e aumentar a competitividade, conforme definido no Estudo Técnico Preliminar, conquanto não haja obrigatoriedade legal, opta-se por realizar a convocação dos interessados </w:t>
      </w:r>
      <w:r w:rsidRPr="37108326">
        <w:rPr>
          <w:rFonts w:ascii="Arial" w:eastAsia="Times New Roman" w:hAnsi="Arial" w:cs="Arial"/>
          <w:b/>
          <w:bCs/>
          <w:color w:val="FF0000"/>
          <w:sz w:val="20"/>
          <w:szCs w:val="20"/>
          <w:u w:val="single"/>
          <w:lang w:eastAsia="pt-BR"/>
        </w:rPr>
        <w:t>também</w:t>
      </w:r>
      <w:r w:rsidRPr="37108326">
        <w:rPr>
          <w:rFonts w:ascii="Arial" w:eastAsia="Times New Roman" w:hAnsi="Arial" w:cs="Arial"/>
          <w:color w:val="FF0000"/>
          <w:sz w:val="20"/>
          <w:szCs w:val="20"/>
          <w:lang w:eastAsia="pt-BR"/>
        </w:rPr>
        <w:t xml:space="preserve"> por meio da publicação no Diário Oficial da União.</w:t>
      </w:r>
    </w:p>
    <w:p w:rsidR="00CA7D8E" w:rsidRDefault="00CA7D8E" w:rsidP="00CA7D8E">
      <w:pPr>
        <w:spacing w:after="0" w:line="240" w:lineRule="auto"/>
        <w:jc w:val="both"/>
        <w:rPr>
          <w:rFonts w:ascii="Arial" w:eastAsia="Times New Roman" w:hAnsi="Arial" w:cs="Arial"/>
          <w:b/>
          <w:bCs/>
          <w:sz w:val="20"/>
          <w:szCs w:val="20"/>
          <w:lang w:eastAsia="pt-BR"/>
        </w:rPr>
      </w:pPr>
    </w:p>
    <w:p w:rsidR="00CA7D8E" w:rsidRDefault="00CA7D8E" w:rsidP="00CA7D8E">
      <w:pPr>
        <w:spacing w:after="0" w:line="240" w:lineRule="auto"/>
        <w:jc w:val="both"/>
        <w:rPr>
          <w:rFonts w:ascii="Arial" w:eastAsia="Times New Roman" w:hAnsi="Arial" w:cs="Arial"/>
          <w:sz w:val="20"/>
          <w:szCs w:val="20"/>
          <w:lang w:eastAsia="pt-BR"/>
        </w:rPr>
      </w:pPr>
    </w:p>
    <w:p w:rsidR="00CA7D8E" w:rsidRDefault="00CA7D8E" w:rsidP="00CA7D8E">
      <w:pPr>
        <w:shd w:val="clear" w:color="auto" w:fill="FFFF00"/>
        <w:spacing w:after="0" w:line="240" w:lineRule="auto"/>
        <w:jc w:val="both"/>
        <w:rPr>
          <w:rFonts w:ascii="Arial" w:hAnsi="Arial" w:cs="Arial"/>
          <w:b/>
          <w:bCs/>
          <w:sz w:val="20"/>
          <w:szCs w:val="20"/>
        </w:rPr>
      </w:pPr>
      <w:r w:rsidRPr="37108326">
        <w:rPr>
          <w:rFonts w:ascii="Arial" w:hAnsi="Arial" w:cs="Arial"/>
          <w:b/>
          <w:bCs/>
          <w:sz w:val="20"/>
          <w:szCs w:val="20"/>
        </w:rPr>
        <w:t>Orientações práticas:</w:t>
      </w:r>
    </w:p>
    <w:p w:rsidR="00CA7D8E" w:rsidRDefault="00CA7D8E" w:rsidP="00CA7D8E">
      <w:pPr>
        <w:shd w:val="clear" w:color="auto" w:fill="FFFF00"/>
        <w:spacing w:after="0" w:line="240" w:lineRule="auto"/>
        <w:jc w:val="both"/>
        <w:rPr>
          <w:rFonts w:ascii="Arial" w:hAnsi="Arial" w:cs="Arial"/>
          <w:b/>
          <w:bCs/>
          <w:sz w:val="20"/>
          <w:szCs w:val="20"/>
        </w:rPr>
      </w:pPr>
    </w:p>
    <w:p w:rsidR="00CA7D8E" w:rsidRDefault="00CA7D8E" w:rsidP="00CA7D8E">
      <w:pPr>
        <w:shd w:val="clear" w:color="auto" w:fill="FFFF00"/>
        <w:spacing w:after="0" w:line="240" w:lineRule="auto"/>
        <w:jc w:val="both"/>
        <w:rPr>
          <w:rFonts w:ascii="Arial" w:eastAsia="Times New Roman" w:hAnsi="Arial" w:cs="Arial"/>
          <w:sz w:val="20"/>
          <w:szCs w:val="20"/>
          <w:lang w:eastAsia="pt-BR"/>
        </w:rPr>
      </w:pPr>
      <w:r w:rsidRPr="37108326">
        <w:rPr>
          <w:rFonts w:ascii="Arial" w:eastAsia="Times New Roman" w:hAnsi="Arial" w:cs="Arial"/>
          <w:sz w:val="20"/>
          <w:szCs w:val="20"/>
          <w:lang w:eastAsia="pt-BR"/>
        </w:rPr>
        <w:t>O item 10 (“</w:t>
      </w:r>
      <w:r w:rsidRPr="37108326">
        <w:rPr>
          <w:rFonts w:ascii="Arial" w:hAnsi="Arial" w:cs="Arial"/>
          <w:sz w:val="20"/>
          <w:szCs w:val="20"/>
        </w:rPr>
        <w:t>Informações Complementares”)</w:t>
      </w:r>
      <w:r w:rsidRPr="37108326">
        <w:rPr>
          <w:rFonts w:ascii="Arial" w:eastAsia="Times New Roman" w:hAnsi="Arial" w:cs="Arial"/>
          <w:sz w:val="20"/>
          <w:szCs w:val="20"/>
          <w:lang w:eastAsia="pt-BR"/>
        </w:rPr>
        <w:t xml:space="preserve"> poderá ser utilizado para a inclusão de outros critérios/obrigações específicos não abrangidos por esta minuta padrão.</w:t>
      </w:r>
    </w:p>
    <w:p w:rsidR="00CA7D8E" w:rsidRDefault="00CA7D8E" w:rsidP="00CA7D8E">
      <w:pPr>
        <w:shd w:val="clear" w:color="auto" w:fill="FFFF00"/>
        <w:spacing w:after="0" w:line="240" w:lineRule="auto"/>
        <w:jc w:val="both"/>
        <w:rPr>
          <w:rFonts w:ascii="Arial" w:hAnsi="Arial" w:cs="Arial"/>
          <w:sz w:val="20"/>
          <w:szCs w:val="20"/>
        </w:rPr>
      </w:pPr>
      <w:r w:rsidRPr="37108326">
        <w:rPr>
          <w:rFonts w:ascii="Arial" w:eastAsia="Times New Roman" w:hAnsi="Arial" w:cs="Arial"/>
          <w:sz w:val="20"/>
          <w:szCs w:val="20"/>
          <w:lang w:eastAsia="pt-BR"/>
        </w:rPr>
        <w:t>Assim, c</w:t>
      </w:r>
      <w:r w:rsidRPr="37108326">
        <w:rPr>
          <w:rFonts w:ascii="Arial" w:hAnsi="Arial" w:cs="Arial"/>
          <w:sz w:val="20"/>
          <w:szCs w:val="20"/>
        </w:rPr>
        <w:t>aso a equipe de planejamento, dentro de seus estudos preliminares, identifique a necessidade de incluir especificidades sobre esses temas que não se encontram descritas na minuta padrão de edital, deverão incluir subitens nas “informações complementares” (</w:t>
      </w:r>
      <w:proofErr w:type="spellStart"/>
      <w:r w:rsidRPr="37108326">
        <w:rPr>
          <w:rFonts w:ascii="Arial" w:hAnsi="Arial" w:cs="Arial"/>
          <w:sz w:val="20"/>
          <w:szCs w:val="20"/>
        </w:rPr>
        <w:t>ex</w:t>
      </w:r>
      <w:proofErr w:type="spellEnd"/>
      <w:r w:rsidRPr="37108326">
        <w:rPr>
          <w:rFonts w:ascii="Arial" w:hAnsi="Arial" w:cs="Arial"/>
          <w:sz w:val="20"/>
          <w:szCs w:val="20"/>
        </w:rPr>
        <w:t>: 10.5, 10.6), submetendo à análise jurídica do órgão competente.</w:t>
      </w:r>
    </w:p>
    <w:p w:rsidR="00CA7D8E" w:rsidRDefault="00CA7D8E" w:rsidP="00CA7D8E">
      <w:pPr>
        <w:shd w:val="clear" w:color="auto" w:fill="FFFF00"/>
        <w:spacing w:after="0" w:line="240" w:lineRule="auto"/>
        <w:jc w:val="both"/>
        <w:rPr>
          <w:rFonts w:ascii="Arial" w:hAnsi="Arial" w:cs="Arial"/>
          <w:sz w:val="20"/>
          <w:szCs w:val="20"/>
        </w:rPr>
      </w:pPr>
      <w:r w:rsidRPr="37108326">
        <w:rPr>
          <w:rFonts w:ascii="Arial" w:hAnsi="Arial" w:cs="Arial"/>
          <w:sz w:val="20"/>
          <w:szCs w:val="20"/>
        </w:rPr>
        <w:t xml:space="preserve">Em vermelho, constam alguns EXEMPLOS de temas que poderão suscitar exigências adicionais (amostra, garantia contratual, pagamento, reajuste, sanções, </w:t>
      </w:r>
      <w:proofErr w:type="spellStart"/>
      <w:r w:rsidRPr="37108326">
        <w:rPr>
          <w:rFonts w:ascii="Arial" w:hAnsi="Arial" w:cs="Arial"/>
          <w:sz w:val="20"/>
          <w:szCs w:val="20"/>
        </w:rPr>
        <w:t>etc</w:t>
      </w:r>
      <w:proofErr w:type="spellEnd"/>
      <w:r w:rsidRPr="37108326">
        <w:rPr>
          <w:rFonts w:ascii="Arial" w:hAnsi="Arial" w:cs="Arial"/>
          <w:sz w:val="20"/>
          <w:szCs w:val="20"/>
        </w:rPr>
        <w:t>), sem qualquer obrigatoriedade no seu preenchimento.</w:t>
      </w:r>
    </w:p>
    <w:p w:rsidR="00CA7D8E" w:rsidRDefault="00CA7D8E" w:rsidP="00CA7D8E">
      <w:pPr>
        <w:shd w:val="clear" w:color="auto" w:fill="FFFF00"/>
        <w:spacing w:after="0" w:line="240" w:lineRule="auto"/>
        <w:jc w:val="both"/>
        <w:rPr>
          <w:rFonts w:ascii="Arial" w:hAnsi="Arial" w:cs="Arial"/>
          <w:sz w:val="20"/>
          <w:szCs w:val="20"/>
        </w:rPr>
      </w:pPr>
    </w:p>
    <w:p w:rsidR="00CA7D8E" w:rsidRDefault="00CA7D8E" w:rsidP="00CA7D8E">
      <w:pPr>
        <w:shd w:val="clear" w:color="auto" w:fill="FFFF00"/>
        <w:spacing w:after="0" w:line="240" w:lineRule="auto"/>
        <w:jc w:val="both"/>
        <w:rPr>
          <w:rFonts w:ascii="Arial" w:hAnsi="Arial" w:cs="Arial"/>
          <w:sz w:val="20"/>
          <w:szCs w:val="20"/>
        </w:rPr>
      </w:pPr>
      <w:r w:rsidRPr="37108326">
        <w:rPr>
          <w:rFonts w:ascii="Arial" w:hAnsi="Arial" w:cs="Arial"/>
          <w:b/>
          <w:bCs/>
          <w:sz w:val="20"/>
          <w:szCs w:val="20"/>
        </w:rPr>
        <w:t>Ampliação da competitividade:</w:t>
      </w:r>
      <w:r w:rsidRPr="37108326">
        <w:rPr>
          <w:rFonts w:ascii="Arial" w:hAnsi="Arial" w:cs="Arial"/>
          <w:sz w:val="20"/>
          <w:szCs w:val="20"/>
        </w:rPr>
        <w:t xml:space="preserve"> Caso a Equipe de Planejamento identifique nos estudos preliminares, em análise aos processos licitatórios anteriores para a aquisição de medicamentos, que muitos certames restaram fracassados ou não lograram êxito em adquirir os produtos farmacológicos em valores próximos </w:t>
      </w:r>
      <w:r w:rsidRPr="37108326">
        <w:rPr>
          <w:rFonts w:ascii="Arial" w:hAnsi="Arial" w:cs="Arial"/>
          <w:sz w:val="20"/>
          <w:szCs w:val="20"/>
        </w:rPr>
        <w:lastRenderedPageBreak/>
        <w:t xml:space="preserve">aos praticados pelo Banco de Preços em Saúde, se comparadas às aquisições semelhantes realizadas em outros Estados poderá, </w:t>
      </w:r>
      <w:r w:rsidRPr="37108326">
        <w:rPr>
          <w:rFonts w:ascii="Arial" w:hAnsi="Arial" w:cs="Arial"/>
          <w:sz w:val="20"/>
          <w:szCs w:val="20"/>
          <w:u w:val="single"/>
        </w:rPr>
        <w:t>FACULTATIVAMENTE</w:t>
      </w:r>
      <w:r w:rsidRPr="37108326">
        <w:rPr>
          <w:rFonts w:ascii="Arial" w:hAnsi="Arial" w:cs="Arial"/>
          <w:sz w:val="20"/>
          <w:szCs w:val="20"/>
        </w:rPr>
        <w:t>, adotar o procedimento sugerido no subitem 10.1</w:t>
      </w:r>
      <w:r>
        <w:rPr>
          <w:rFonts w:ascii="Arial" w:hAnsi="Arial" w:cs="Arial"/>
          <w:sz w:val="20"/>
          <w:szCs w:val="20"/>
        </w:rPr>
        <w:t>2</w:t>
      </w:r>
      <w:r w:rsidRPr="37108326">
        <w:rPr>
          <w:rFonts w:ascii="Arial" w:hAnsi="Arial" w:cs="Arial"/>
          <w:sz w:val="20"/>
          <w:szCs w:val="20"/>
        </w:rPr>
        <w:t>.</w:t>
      </w:r>
    </w:p>
    <w:p w:rsidR="00CA7D8E" w:rsidRDefault="00CA7D8E" w:rsidP="00CA7D8E">
      <w:pPr>
        <w:spacing w:after="0" w:line="240" w:lineRule="auto"/>
        <w:jc w:val="both"/>
        <w:rPr>
          <w:rFonts w:ascii="Arial" w:eastAsia="Times New Roman" w:hAnsi="Arial" w:cs="Arial"/>
          <w:sz w:val="20"/>
          <w:szCs w:val="20"/>
          <w:lang w:eastAsia="pt-BR"/>
        </w:rPr>
      </w:pPr>
    </w:p>
    <w:p w:rsidR="00CA7D8E" w:rsidRDefault="00CA7D8E" w:rsidP="00CA7D8E">
      <w:pPr>
        <w:spacing w:after="0" w:line="240" w:lineRule="auto"/>
        <w:jc w:val="both"/>
        <w:rPr>
          <w:rFonts w:ascii="Arial" w:eastAsia="Times New Roman" w:hAnsi="Arial" w:cs="Arial"/>
          <w:sz w:val="20"/>
          <w:szCs w:val="20"/>
          <w:lang w:eastAsia="pt-BR"/>
        </w:rPr>
      </w:pPr>
    </w:p>
    <w:p w:rsidR="00CA7D8E" w:rsidRDefault="00CA7D8E" w:rsidP="00CA7D8E">
      <w:pPr>
        <w:spacing w:after="0" w:line="240" w:lineRule="auto"/>
        <w:jc w:val="both"/>
        <w:rPr>
          <w:rFonts w:ascii="Arial" w:eastAsia="Arial" w:hAnsi="Arial" w:cs="Arial"/>
          <w:sz w:val="20"/>
          <w:szCs w:val="20"/>
        </w:rPr>
      </w:pPr>
      <w:r w:rsidRPr="37108326">
        <w:rPr>
          <w:rFonts w:ascii="Arial" w:eastAsia="Arial" w:hAnsi="Arial" w:cs="Arial"/>
          <w:color w:val="000000" w:themeColor="text1"/>
          <w:sz w:val="20"/>
          <w:szCs w:val="20"/>
        </w:rPr>
        <w:t>CERTIFICO que o Termo de Referência seguiu a minuta-padrão disponibilizada e aprovada pela Decisão PGE/MS/GAB/</w:t>
      </w:r>
      <w:r w:rsidRPr="37108326">
        <w:rPr>
          <w:rFonts w:ascii="Arial" w:eastAsia="Arial" w:hAnsi="Arial" w:cs="Arial"/>
          <w:color w:val="000000" w:themeColor="text1"/>
          <w:sz w:val="20"/>
          <w:szCs w:val="20"/>
          <w:highlight w:val="yellow"/>
        </w:rPr>
        <w:t>N..../2022</w:t>
      </w:r>
      <w:r w:rsidRPr="37108326">
        <w:rPr>
          <w:rFonts w:ascii="Arial" w:eastAsia="Arial" w:hAnsi="Arial" w:cs="Arial"/>
          <w:color w:val="000000" w:themeColor="text1"/>
          <w:sz w:val="20"/>
          <w:szCs w:val="20"/>
        </w:rPr>
        <w:t xml:space="preserve">, em sua versão </w:t>
      </w:r>
      <w:r w:rsidRPr="37108326">
        <w:rPr>
          <w:rFonts w:ascii="Arial" w:eastAsia="Arial" w:hAnsi="Arial" w:cs="Arial"/>
          <w:color w:val="FF0000"/>
          <w:sz w:val="20"/>
          <w:szCs w:val="20"/>
          <w:highlight w:val="yellow"/>
        </w:rPr>
        <w:t>........... (indicação da versão)</w:t>
      </w:r>
      <w:r w:rsidRPr="37108326">
        <w:rPr>
          <w:rFonts w:ascii="Arial" w:eastAsia="Arial" w:hAnsi="Arial" w:cs="Arial"/>
          <w:color w:val="000000" w:themeColor="text1"/>
          <w:sz w:val="20"/>
          <w:szCs w:val="20"/>
        </w:rPr>
        <w:t xml:space="preserve">  disponibilizada no site </w:t>
      </w:r>
      <w:hyperlink r:id="rId9">
        <w:r w:rsidRPr="37108326">
          <w:rPr>
            <w:rStyle w:val="Hyperlink"/>
          </w:rPr>
          <w:t>www.pge.ms.gov.br.</w:t>
        </w:r>
      </w:hyperlink>
    </w:p>
    <w:p w:rsidR="00CA7D8E" w:rsidRDefault="00CA7D8E" w:rsidP="00CA7D8E">
      <w:pPr>
        <w:spacing w:after="0" w:line="240" w:lineRule="auto"/>
        <w:jc w:val="both"/>
        <w:rPr>
          <w:rFonts w:ascii="Arial" w:eastAsia="Times New Roman" w:hAnsi="Arial" w:cs="Arial"/>
          <w:sz w:val="20"/>
          <w:szCs w:val="20"/>
          <w:lang w:eastAsia="pt-BR"/>
        </w:rPr>
      </w:pPr>
    </w:p>
    <w:p w:rsidR="00CA7D8E" w:rsidRDefault="00CA7D8E" w:rsidP="00CA7D8E">
      <w:pPr>
        <w:spacing w:after="0" w:line="240" w:lineRule="auto"/>
        <w:jc w:val="both"/>
        <w:rPr>
          <w:rFonts w:ascii="Arial" w:eastAsia="Times New Roman" w:hAnsi="Arial" w:cs="Arial"/>
          <w:b/>
          <w:bCs/>
          <w:sz w:val="20"/>
          <w:szCs w:val="20"/>
          <w:lang w:eastAsia="pt-BR"/>
        </w:rPr>
      </w:pPr>
    </w:p>
    <w:p w:rsidR="00CA7D8E" w:rsidRPr="007C77ED" w:rsidRDefault="00CA7D8E" w:rsidP="00CA7D8E">
      <w:pPr>
        <w:spacing w:after="0" w:line="240" w:lineRule="auto"/>
        <w:jc w:val="both"/>
        <w:rPr>
          <w:rFonts w:ascii="Arial" w:eastAsia="Times New Roman" w:hAnsi="Arial" w:cs="Arial"/>
          <w:b/>
          <w:sz w:val="20"/>
          <w:szCs w:val="20"/>
          <w:lang w:eastAsia="pt-BR"/>
        </w:rPr>
      </w:pPr>
    </w:p>
    <w:p w:rsidR="00CA7D8E" w:rsidRPr="007C77ED" w:rsidRDefault="00CA7D8E" w:rsidP="00CA7D8E">
      <w:pPr>
        <w:spacing w:after="0" w:line="240" w:lineRule="auto"/>
        <w:jc w:val="center"/>
        <w:rPr>
          <w:rFonts w:ascii="Arial" w:eastAsia="Times New Roman" w:hAnsi="Arial" w:cs="Arial"/>
          <w:sz w:val="20"/>
          <w:szCs w:val="20"/>
          <w:lang w:eastAsia="pt-BR"/>
        </w:rPr>
      </w:pPr>
      <w:r w:rsidRPr="007C77ED">
        <w:rPr>
          <w:rFonts w:ascii="Arial" w:eastAsia="Times New Roman" w:hAnsi="Arial" w:cs="Arial"/>
          <w:sz w:val="20"/>
          <w:szCs w:val="20"/>
          <w:lang w:eastAsia="pt-BR"/>
        </w:rPr>
        <w:t>(</w:t>
      </w:r>
      <w:proofErr w:type="gramStart"/>
      <w:r w:rsidRPr="007C77ED">
        <w:rPr>
          <w:rFonts w:ascii="Arial" w:eastAsia="Times New Roman" w:hAnsi="Arial" w:cs="Arial"/>
          <w:sz w:val="20"/>
          <w:szCs w:val="20"/>
          <w:lang w:eastAsia="pt-BR"/>
        </w:rPr>
        <w:t>assinatura</w:t>
      </w:r>
      <w:proofErr w:type="gramEnd"/>
      <w:r w:rsidRPr="007C77ED">
        <w:rPr>
          <w:rFonts w:ascii="Arial" w:eastAsia="Times New Roman" w:hAnsi="Arial" w:cs="Arial"/>
          <w:sz w:val="20"/>
          <w:szCs w:val="20"/>
          <w:lang w:eastAsia="pt-BR"/>
        </w:rPr>
        <w:t>)</w:t>
      </w:r>
    </w:p>
    <w:p w:rsidR="00CA7D8E" w:rsidRPr="007C77ED" w:rsidRDefault="00CA7D8E" w:rsidP="00CA7D8E">
      <w:pPr>
        <w:spacing w:after="0" w:line="240" w:lineRule="auto"/>
        <w:jc w:val="center"/>
        <w:rPr>
          <w:rFonts w:ascii="Arial" w:eastAsia="Times New Roman" w:hAnsi="Arial" w:cs="Arial"/>
          <w:sz w:val="20"/>
          <w:szCs w:val="20"/>
          <w:lang w:eastAsia="pt-BR"/>
        </w:rPr>
      </w:pPr>
      <w:r w:rsidRPr="007C77ED">
        <w:rPr>
          <w:rFonts w:ascii="Arial" w:eastAsia="Times New Roman" w:hAnsi="Arial" w:cs="Arial"/>
          <w:sz w:val="20"/>
          <w:szCs w:val="20"/>
          <w:lang w:eastAsia="pt-BR"/>
        </w:rPr>
        <w:t>Identificação do servidor/ equipe responsável pela elaboração do termo de referência</w:t>
      </w:r>
    </w:p>
    <w:p w:rsidR="00CA7D8E" w:rsidRPr="007C77ED" w:rsidRDefault="00CA7D8E" w:rsidP="00CA7D8E">
      <w:pPr>
        <w:spacing w:after="0" w:line="240" w:lineRule="auto"/>
        <w:jc w:val="center"/>
        <w:rPr>
          <w:rFonts w:ascii="Arial" w:eastAsia="Times New Roman" w:hAnsi="Arial" w:cs="Arial"/>
          <w:sz w:val="20"/>
          <w:szCs w:val="20"/>
          <w:lang w:eastAsia="pt-BR"/>
        </w:rPr>
      </w:pPr>
    </w:p>
    <w:p w:rsidR="00CA7D8E" w:rsidRPr="007C77ED" w:rsidRDefault="00CA7D8E" w:rsidP="00CA7D8E">
      <w:pPr>
        <w:spacing w:after="0" w:line="240" w:lineRule="auto"/>
        <w:jc w:val="center"/>
        <w:rPr>
          <w:rFonts w:ascii="Arial" w:eastAsia="Times New Roman" w:hAnsi="Arial" w:cs="Arial"/>
          <w:sz w:val="20"/>
          <w:szCs w:val="20"/>
          <w:lang w:eastAsia="pt-BR"/>
        </w:rPr>
      </w:pPr>
    </w:p>
    <w:p w:rsidR="00CA7D8E" w:rsidRPr="007C77ED" w:rsidRDefault="00CA7D8E" w:rsidP="00CA7D8E">
      <w:pPr>
        <w:spacing w:after="0" w:line="240" w:lineRule="auto"/>
        <w:jc w:val="center"/>
        <w:rPr>
          <w:rFonts w:ascii="Arial" w:eastAsia="Times New Roman" w:hAnsi="Arial" w:cs="Arial"/>
          <w:sz w:val="20"/>
          <w:szCs w:val="20"/>
          <w:lang w:eastAsia="pt-BR"/>
        </w:rPr>
      </w:pPr>
      <w:r w:rsidRPr="007C77ED">
        <w:rPr>
          <w:rFonts w:ascii="Arial" w:eastAsia="Times New Roman" w:hAnsi="Arial" w:cs="Arial"/>
          <w:sz w:val="20"/>
          <w:szCs w:val="20"/>
          <w:lang w:eastAsia="pt-BR"/>
        </w:rPr>
        <w:t>(</w:t>
      </w:r>
      <w:proofErr w:type="gramStart"/>
      <w:r w:rsidRPr="007C77ED">
        <w:rPr>
          <w:rFonts w:ascii="Arial" w:eastAsia="Times New Roman" w:hAnsi="Arial" w:cs="Arial"/>
          <w:sz w:val="20"/>
          <w:szCs w:val="20"/>
          <w:lang w:eastAsia="pt-BR"/>
        </w:rPr>
        <w:t>assinatura</w:t>
      </w:r>
      <w:proofErr w:type="gramEnd"/>
      <w:r w:rsidRPr="007C77ED">
        <w:rPr>
          <w:rFonts w:ascii="Arial" w:eastAsia="Times New Roman" w:hAnsi="Arial" w:cs="Arial"/>
          <w:sz w:val="20"/>
          <w:szCs w:val="20"/>
          <w:lang w:eastAsia="pt-BR"/>
        </w:rPr>
        <w:t>)</w:t>
      </w:r>
    </w:p>
    <w:p w:rsidR="00CA7D8E" w:rsidRPr="007C77ED" w:rsidRDefault="00CA7D8E" w:rsidP="00CA7D8E">
      <w:pPr>
        <w:spacing w:after="0" w:line="240" w:lineRule="auto"/>
        <w:jc w:val="center"/>
        <w:rPr>
          <w:rFonts w:ascii="Arial" w:eastAsia="Times New Roman" w:hAnsi="Arial" w:cs="Arial"/>
          <w:b/>
          <w:color w:val="FF0000"/>
          <w:sz w:val="20"/>
          <w:szCs w:val="20"/>
          <w:lang w:eastAsia="pt-BR"/>
        </w:rPr>
      </w:pPr>
      <w:r w:rsidRPr="007C77ED">
        <w:rPr>
          <w:rFonts w:ascii="Arial" w:eastAsia="Times New Roman" w:hAnsi="Arial" w:cs="Arial"/>
          <w:b/>
          <w:color w:val="FF0000"/>
          <w:sz w:val="20"/>
          <w:szCs w:val="20"/>
          <w:lang w:eastAsia="pt-BR"/>
        </w:rPr>
        <w:t>Ordenador de Despesa</w:t>
      </w:r>
    </w:p>
    <w:p w:rsidR="00CA7D8E" w:rsidRPr="007C77ED" w:rsidRDefault="00CA7D8E" w:rsidP="00CA7D8E">
      <w:pPr>
        <w:spacing w:after="0" w:line="240" w:lineRule="auto"/>
        <w:jc w:val="center"/>
        <w:rPr>
          <w:rFonts w:ascii="Arial" w:eastAsia="Times New Roman" w:hAnsi="Arial" w:cs="Arial"/>
          <w:b/>
          <w:color w:val="FF0000"/>
          <w:sz w:val="20"/>
          <w:szCs w:val="20"/>
          <w:lang w:eastAsia="pt-BR"/>
        </w:rPr>
      </w:pPr>
    </w:p>
    <w:p w:rsidR="00CA7D8E" w:rsidRPr="007C77ED" w:rsidRDefault="00CA7D8E" w:rsidP="00CA7D8E">
      <w:pPr>
        <w:spacing w:after="0" w:line="240" w:lineRule="auto"/>
        <w:ind w:left="720"/>
        <w:contextualSpacing/>
        <w:jc w:val="both"/>
        <w:rPr>
          <w:rFonts w:ascii="Arial" w:eastAsia="Times New Roman" w:hAnsi="Arial" w:cs="Arial"/>
          <w:i/>
          <w:color w:val="FF0000"/>
          <w:sz w:val="20"/>
          <w:szCs w:val="20"/>
          <w:lang w:eastAsia="pt-BR"/>
        </w:rPr>
      </w:pPr>
      <w:proofErr w:type="spellStart"/>
      <w:r w:rsidRPr="007C77ED">
        <w:rPr>
          <w:rFonts w:ascii="Arial" w:eastAsia="Times New Roman" w:hAnsi="Arial" w:cs="Arial"/>
          <w:i/>
          <w:color w:val="FF0000"/>
          <w:sz w:val="20"/>
          <w:szCs w:val="20"/>
          <w:lang w:eastAsia="pt-BR"/>
        </w:rPr>
        <w:t>Obs</w:t>
      </w:r>
      <w:proofErr w:type="spellEnd"/>
      <w:r w:rsidRPr="007C77ED">
        <w:rPr>
          <w:rFonts w:ascii="Arial" w:eastAsia="Times New Roman" w:hAnsi="Arial" w:cs="Arial"/>
          <w:i/>
          <w:color w:val="FF0000"/>
          <w:sz w:val="20"/>
          <w:szCs w:val="20"/>
          <w:lang w:eastAsia="pt-BR"/>
        </w:rPr>
        <w:t xml:space="preserve">: aprovação do Termo de Referência pela autoridade competente ou por quem </w:t>
      </w:r>
      <w:proofErr w:type="spellStart"/>
      <w:r w:rsidRPr="007C77ED">
        <w:rPr>
          <w:rFonts w:ascii="Arial" w:eastAsia="Times New Roman" w:hAnsi="Arial" w:cs="Arial"/>
          <w:i/>
          <w:color w:val="FF0000"/>
          <w:sz w:val="20"/>
          <w:szCs w:val="20"/>
          <w:lang w:eastAsia="pt-BR"/>
        </w:rPr>
        <w:t>esta</w:t>
      </w:r>
      <w:proofErr w:type="spellEnd"/>
      <w:r w:rsidRPr="007C77ED">
        <w:rPr>
          <w:rFonts w:ascii="Arial" w:eastAsia="Times New Roman" w:hAnsi="Arial" w:cs="Arial"/>
          <w:i/>
          <w:color w:val="FF0000"/>
          <w:sz w:val="20"/>
          <w:szCs w:val="20"/>
          <w:lang w:eastAsia="pt-BR"/>
        </w:rPr>
        <w:t xml:space="preserve"> delegar (art. 11, §§ 1º e 2º do Decreto 15.524/2020). Caso ocorra a delegação, deve restar comprovado que o signatário se encontra investido da função de ordenador de despesa.</w:t>
      </w:r>
    </w:p>
    <w:p w:rsidR="00B97CD5" w:rsidRPr="00071C4E" w:rsidRDefault="00B97CD5" w:rsidP="00071C4E"/>
    <w:sectPr w:rsidR="00B97CD5" w:rsidRPr="00071C4E">
      <w:headerReference w:type="default" r:id="rId10"/>
      <w:footerReference w:type="default" r:id="rId11"/>
      <w:pgSz w:w="11920" w:h="16840"/>
      <w:pgMar w:top="1780" w:right="1060" w:bottom="1340" w:left="1420" w:header="690" w:footer="11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65A3" w:rsidRDefault="004265A3" w:rsidP="004265A3">
      <w:pPr>
        <w:spacing w:after="0" w:line="240" w:lineRule="auto"/>
      </w:pPr>
      <w:r>
        <w:separator/>
      </w:r>
    </w:p>
  </w:endnote>
  <w:endnote w:type="continuationSeparator" w:id="0">
    <w:p w:rsidR="004265A3" w:rsidRDefault="004265A3" w:rsidP="00426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719E" w:rsidRDefault="006F719E" w:rsidP="006F719E">
    <w:pPr>
      <w:pStyle w:val="Rodap"/>
      <w:pBdr>
        <w:top w:val="double" w:sz="4" w:space="1" w:color="auto"/>
      </w:pBdr>
      <w:tabs>
        <w:tab w:val="left" w:pos="709"/>
      </w:tabs>
      <w:ind w:right="360"/>
      <w:jc w:val="center"/>
    </w:pPr>
    <w:r w:rsidRPr="000862F3">
      <w:rPr>
        <w:rFonts w:ascii="Times New Roman" w:hAnsi="Times New Roman" w:cs="Times New Roman"/>
        <w:sz w:val="20"/>
        <w:szCs w:val="20"/>
      </w:rPr>
      <w:t xml:space="preserve">Av. Des. José Nunes da Cunha, Bloco IV, Parque dos Poderes, Campo Grande/MS, CEP 79.031-310 </w:t>
    </w:r>
    <w:hyperlink r:id="rId1" w:history="1">
      <w:r w:rsidRPr="000862F3">
        <w:rPr>
          <w:rStyle w:val="Hyperlink"/>
          <w:sz w:val="20"/>
        </w:rPr>
        <w:t>www.pge.ms.gov.br</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65A3" w:rsidRDefault="004265A3" w:rsidP="004265A3">
      <w:pPr>
        <w:spacing w:after="0" w:line="240" w:lineRule="auto"/>
      </w:pPr>
      <w:r>
        <w:separator/>
      </w:r>
    </w:p>
  </w:footnote>
  <w:footnote w:type="continuationSeparator" w:id="0">
    <w:p w:rsidR="004265A3" w:rsidRDefault="004265A3" w:rsidP="00426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insideH w:val="single" w:sz="4" w:space="0" w:color="auto"/>
        <w:insideV w:val="single" w:sz="4" w:space="0" w:color="auto"/>
      </w:tblBorders>
      <w:tblLook w:val="04A0" w:firstRow="1" w:lastRow="0" w:firstColumn="1" w:lastColumn="0" w:noHBand="0" w:noVBand="1"/>
    </w:tblPr>
    <w:tblGrid>
      <w:gridCol w:w="2721"/>
      <w:gridCol w:w="3118"/>
    </w:tblGrid>
    <w:tr w:rsidR="006F719E" w:rsidRPr="00C57E58" w:rsidTr="004423C4">
      <w:trPr>
        <w:jc w:val="center"/>
      </w:trPr>
      <w:tc>
        <w:tcPr>
          <w:tcW w:w="2552" w:type="dxa"/>
          <w:tcBorders>
            <w:top w:val="nil"/>
            <w:left w:val="nil"/>
            <w:bottom w:val="nil"/>
            <w:right w:val="single" w:sz="4" w:space="0" w:color="auto"/>
          </w:tcBorders>
          <w:hideMark/>
        </w:tcPr>
        <w:p w:rsidR="006F719E" w:rsidRDefault="006F719E" w:rsidP="006F719E">
          <w:pPr>
            <w:pStyle w:val="Cabealho"/>
            <w:ind w:left="-105"/>
            <w:rPr>
              <w:bCs/>
              <w:sz w:val="26"/>
            </w:rPr>
          </w:pPr>
          <w:r w:rsidRPr="00B42DE7">
            <w:rPr>
              <w:noProof/>
              <w:sz w:val="26"/>
            </w:rPr>
            <w:drawing>
              <wp:inline distT="0" distB="0" distL="0" distR="0" wp14:anchorId="3D2D2C98" wp14:editId="09149738">
                <wp:extent cx="1657350" cy="561796"/>
                <wp:effectExtent l="0" t="0" r="0" b="0"/>
                <wp:docPr id="252085561" name="Picture 252085561"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789" cy="568385"/>
                        </a:xfrm>
                        <a:prstGeom prst="rect">
                          <a:avLst/>
                        </a:prstGeom>
                        <a:noFill/>
                        <a:ln>
                          <a:noFill/>
                        </a:ln>
                      </pic:spPr>
                    </pic:pic>
                  </a:graphicData>
                </a:graphic>
              </wp:inline>
            </w:drawing>
          </w:r>
        </w:p>
        <w:p w:rsidR="006F719E" w:rsidRDefault="006F719E" w:rsidP="006F719E">
          <w:pPr>
            <w:pStyle w:val="Cabealho"/>
            <w:ind w:left="-105"/>
            <w:rPr>
              <w:bCs/>
              <w:sz w:val="26"/>
            </w:rPr>
          </w:pPr>
        </w:p>
      </w:tc>
      <w:tc>
        <w:tcPr>
          <w:tcW w:w="3118" w:type="dxa"/>
          <w:tcBorders>
            <w:top w:val="nil"/>
            <w:left w:val="single" w:sz="4" w:space="0" w:color="auto"/>
            <w:bottom w:val="nil"/>
            <w:right w:val="nil"/>
          </w:tcBorders>
          <w:hideMark/>
        </w:tcPr>
        <w:p w:rsidR="006F719E" w:rsidRPr="00C57E58" w:rsidRDefault="006F719E" w:rsidP="006F719E">
          <w:pPr>
            <w:pStyle w:val="Textodenotaderodap"/>
            <w:rPr>
              <w:rFonts w:ascii="Calibri Light" w:hAnsi="Calibri Light" w:cs="Calibri Light"/>
              <w:b/>
              <w:sz w:val="18"/>
              <w:szCs w:val="17"/>
            </w:rPr>
          </w:pPr>
          <w:r w:rsidRPr="00C57E58">
            <w:rPr>
              <w:rFonts w:ascii="Calibri Light" w:hAnsi="Calibri Light" w:cs="Calibri Light"/>
              <w:b/>
              <w:sz w:val="18"/>
              <w:szCs w:val="17"/>
            </w:rPr>
            <w:t>CJUR-</w:t>
          </w:r>
          <w:r>
            <w:rPr>
              <w:rFonts w:ascii="Calibri Light" w:hAnsi="Calibri Light" w:cs="Calibri Light"/>
              <w:b/>
              <w:sz w:val="18"/>
              <w:szCs w:val="17"/>
            </w:rPr>
            <w:t>SUCOMP</w:t>
          </w:r>
        </w:p>
        <w:p w:rsidR="006F719E" w:rsidRPr="00C57E58" w:rsidRDefault="006F719E" w:rsidP="006F719E">
          <w:pPr>
            <w:pStyle w:val="Textodenotaderodap"/>
            <w:rPr>
              <w:sz w:val="18"/>
              <w:szCs w:val="17"/>
            </w:rPr>
          </w:pPr>
          <w:r w:rsidRPr="00C57E58">
            <w:rPr>
              <w:rFonts w:ascii="Calibri Light" w:hAnsi="Calibri Light" w:cs="Calibri Light"/>
              <w:b/>
              <w:sz w:val="18"/>
              <w:szCs w:val="17"/>
            </w:rPr>
            <w:t xml:space="preserve">Coordenadoria Jurídica da Procuradoria-Geral do Estado na </w:t>
          </w:r>
          <w:proofErr w:type="spellStart"/>
          <w:r>
            <w:rPr>
              <w:rFonts w:ascii="Calibri Light" w:hAnsi="Calibri Light" w:cs="Calibri Light"/>
              <w:b/>
              <w:sz w:val="18"/>
              <w:szCs w:val="17"/>
            </w:rPr>
            <w:t>Supereintendencia</w:t>
          </w:r>
          <w:proofErr w:type="spellEnd"/>
          <w:r>
            <w:rPr>
              <w:rFonts w:ascii="Calibri Light" w:hAnsi="Calibri Light" w:cs="Calibri Light"/>
              <w:b/>
              <w:sz w:val="18"/>
              <w:szCs w:val="17"/>
            </w:rPr>
            <w:t xml:space="preserve"> de Gestão de </w:t>
          </w:r>
          <w:proofErr w:type="spellStart"/>
          <w:r>
            <w:rPr>
              <w:rFonts w:ascii="Calibri Light" w:hAnsi="Calibri Light" w:cs="Calibri Light"/>
              <w:b/>
              <w:sz w:val="18"/>
              <w:szCs w:val="17"/>
            </w:rPr>
            <w:t>Compas</w:t>
          </w:r>
          <w:proofErr w:type="spellEnd"/>
          <w:r>
            <w:rPr>
              <w:rFonts w:ascii="Calibri Light" w:hAnsi="Calibri Light" w:cs="Calibri Light"/>
              <w:b/>
              <w:sz w:val="18"/>
              <w:szCs w:val="17"/>
            </w:rPr>
            <w:t xml:space="preserve"> e Materiais</w:t>
          </w:r>
        </w:p>
      </w:tc>
    </w:tr>
  </w:tbl>
  <w:p w:rsidR="003725E3" w:rsidRPr="00071C4E" w:rsidRDefault="006F719E" w:rsidP="00071C4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45115"/>
    <w:multiLevelType w:val="multilevel"/>
    <w:tmpl w:val="240434CA"/>
    <w:lvl w:ilvl="0">
      <w:start w:val="10"/>
      <w:numFmt w:val="decimal"/>
      <w:lvlText w:val="%1"/>
      <w:lvlJc w:val="left"/>
      <w:pPr>
        <w:ind w:left="283" w:hanging="670"/>
        <w:jc w:val="left"/>
      </w:pPr>
      <w:rPr>
        <w:rFonts w:hint="default"/>
        <w:lang w:val="pt-PT" w:eastAsia="en-US" w:bidi="ar-SA"/>
      </w:rPr>
    </w:lvl>
    <w:lvl w:ilvl="1">
      <w:start w:val="2"/>
      <w:numFmt w:val="decimal"/>
      <w:lvlText w:val="%1.%2"/>
      <w:lvlJc w:val="left"/>
      <w:pPr>
        <w:ind w:left="283" w:hanging="670"/>
        <w:jc w:val="left"/>
      </w:pPr>
      <w:rPr>
        <w:rFonts w:hint="default"/>
        <w:lang w:val="pt-PT" w:eastAsia="en-US" w:bidi="ar-SA"/>
      </w:rPr>
    </w:lvl>
    <w:lvl w:ilvl="2">
      <w:start w:val="2"/>
      <w:numFmt w:val="decimal"/>
      <w:lvlText w:val="%1.%2.%3"/>
      <w:lvlJc w:val="left"/>
      <w:pPr>
        <w:ind w:left="283" w:hanging="670"/>
        <w:jc w:val="left"/>
      </w:pPr>
      <w:rPr>
        <w:rFonts w:ascii="Arial" w:eastAsia="Arial" w:hAnsi="Arial" w:cs="Arial" w:hint="default"/>
        <w:b/>
        <w:bCs/>
        <w:i w:val="0"/>
        <w:iCs w:val="0"/>
        <w:spacing w:val="0"/>
        <w:w w:val="99"/>
        <w:sz w:val="20"/>
        <w:szCs w:val="20"/>
        <w:lang w:val="pt-PT" w:eastAsia="en-US" w:bidi="ar-SA"/>
      </w:rPr>
    </w:lvl>
    <w:lvl w:ilvl="3">
      <w:start w:val="1"/>
      <w:numFmt w:val="decimal"/>
      <w:lvlText w:val="%1.%2.%3.%4."/>
      <w:lvlJc w:val="left"/>
      <w:pPr>
        <w:ind w:left="283" w:hanging="879"/>
        <w:jc w:val="left"/>
      </w:pPr>
      <w:rPr>
        <w:rFonts w:ascii="Arial" w:eastAsia="Arial" w:hAnsi="Arial" w:cs="Arial" w:hint="default"/>
        <w:b/>
        <w:bCs/>
        <w:i w:val="0"/>
        <w:iCs w:val="0"/>
        <w:spacing w:val="0"/>
        <w:w w:val="99"/>
        <w:sz w:val="20"/>
        <w:szCs w:val="20"/>
        <w:lang w:val="pt-PT" w:eastAsia="en-US" w:bidi="ar-SA"/>
      </w:rPr>
    </w:lvl>
    <w:lvl w:ilvl="4">
      <w:numFmt w:val="bullet"/>
      <w:lvlText w:val="•"/>
      <w:lvlJc w:val="left"/>
      <w:pPr>
        <w:ind w:left="3944" w:hanging="879"/>
      </w:pPr>
      <w:rPr>
        <w:rFonts w:hint="default"/>
        <w:lang w:val="pt-PT" w:eastAsia="en-US" w:bidi="ar-SA"/>
      </w:rPr>
    </w:lvl>
    <w:lvl w:ilvl="5">
      <w:numFmt w:val="bullet"/>
      <w:lvlText w:val="•"/>
      <w:lvlJc w:val="left"/>
      <w:pPr>
        <w:ind w:left="4860" w:hanging="879"/>
      </w:pPr>
      <w:rPr>
        <w:rFonts w:hint="default"/>
        <w:lang w:val="pt-PT" w:eastAsia="en-US" w:bidi="ar-SA"/>
      </w:rPr>
    </w:lvl>
    <w:lvl w:ilvl="6">
      <w:numFmt w:val="bullet"/>
      <w:lvlText w:val="•"/>
      <w:lvlJc w:val="left"/>
      <w:pPr>
        <w:ind w:left="5776" w:hanging="879"/>
      </w:pPr>
      <w:rPr>
        <w:rFonts w:hint="default"/>
        <w:lang w:val="pt-PT" w:eastAsia="en-US" w:bidi="ar-SA"/>
      </w:rPr>
    </w:lvl>
    <w:lvl w:ilvl="7">
      <w:numFmt w:val="bullet"/>
      <w:lvlText w:val="•"/>
      <w:lvlJc w:val="left"/>
      <w:pPr>
        <w:ind w:left="6692" w:hanging="879"/>
      </w:pPr>
      <w:rPr>
        <w:rFonts w:hint="default"/>
        <w:lang w:val="pt-PT" w:eastAsia="en-US" w:bidi="ar-SA"/>
      </w:rPr>
    </w:lvl>
    <w:lvl w:ilvl="8">
      <w:numFmt w:val="bullet"/>
      <w:lvlText w:val="•"/>
      <w:lvlJc w:val="left"/>
      <w:pPr>
        <w:ind w:left="7608" w:hanging="879"/>
      </w:pPr>
      <w:rPr>
        <w:rFonts w:hint="default"/>
        <w:lang w:val="pt-PT" w:eastAsia="en-US" w:bidi="ar-SA"/>
      </w:rPr>
    </w:lvl>
  </w:abstractNum>
  <w:abstractNum w:abstractNumId="1" w15:restartNumberingAfterBreak="0">
    <w:nsid w:val="04D74AF8"/>
    <w:multiLevelType w:val="hybridMultilevel"/>
    <w:tmpl w:val="C7B2A576"/>
    <w:lvl w:ilvl="0" w:tplc="157EC8F4">
      <w:start w:val="1"/>
      <w:numFmt w:val="decimal"/>
      <w:lvlText w:val="%1."/>
      <w:lvlJc w:val="left"/>
      <w:pPr>
        <w:ind w:left="283" w:hanging="288"/>
        <w:jc w:val="left"/>
      </w:pPr>
      <w:rPr>
        <w:rFonts w:ascii="Arial" w:eastAsia="Arial" w:hAnsi="Arial" w:cs="Arial" w:hint="default"/>
        <w:b/>
        <w:bCs/>
        <w:i w:val="0"/>
        <w:iCs w:val="0"/>
        <w:spacing w:val="0"/>
        <w:w w:val="99"/>
        <w:sz w:val="20"/>
        <w:szCs w:val="20"/>
        <w:lang w:val="pt-PT" w:eastAsia="en-US" w:bidi="ar-SA"/>
      </w:rPr>
    </w:lvl>
    <w:lvl w:ilvl="1" w:tplc="ACBE6DD8">
      <w:numFmt w:val="bullet"/>
      <w:lvlText w:val="•"/>
      <w:lvlJc w:val="left"/>
      <w:pPr>
        <w:ind w:left="1196" w:hanging="288"/>
      </w:pPr>
      <w:rPr>
        <w:rFonts w:hint="default"/>
        <w:lang w:val="pt-PT" w:eastAsia="en-US" w:bidi="ar-SA"/>
      </w:rPr>
    </w:lvl>
    <w:lvl w:ilvl="2" w:tplc="795EAD3E">
      <w:numFmt w:val="bullet"/>
      <w:lvlText w:val="•"/>
      <w:lvlJc w:val="left"/>
      <w:pPr>
        <w:ind w:left="2112" w:hanging="288"/>
      </w:pPr>
      <w:rPr>
        <w:rFonts w:hint="default"/>
        <w:lang w:val="pt-PT" w:eastAsia="en-US" w:bidi="ar-SA"/>
      </w:rPr>
    </w:lvl>
    <w:lvl w:ilvl="3" w:tplc="8F788228">
      <w:numFmt w:val="bullet"/>
      <w:lvlText w:val="•"/>
      <w:lvlJc w:val="left"/>
      <w:pPr>
        <w:ind w:left="3028" w:hanging="288"/>
      </w:pPr>
      <w:rPr>
        <w:rFonts w:hint="default"/>
        <w:lang w:val="pt-PT" w:eastAsia="en-US" w:bidi="ar-SA"/>
      </w:rPr>
    </w:lvl>
    <w:lvl w:ilvl="4" w:tplc="ADF88E0C">
      <w:numFmt w:val="bullet"/>
      <w:lvlText w:val="•"/>
      <w:lvlJc w:val="left"/>
      <w:pPr>
        <w:ind w:left="3944" w:hanging="288"/>
      </w:pPr>
      <w:rPr>
        <w:rFonts w:hint="default"/>
        <w:lang w:val="pt-PT" w:eastAsia="en-US" w:bidi="ar-SA"/>
      </w:rPr>
    </w:lvl>
    <w:lvl w:ilvl="5" w:tplc="CD0253B6">
      <w:numFmt w:val="bullet"/>
      <w:lvlText w:val="•"/>
      <w:lvlJc w:val="left"/>
      <w:pPr>
        <w:ind w:left="4860" w:hanging="288"/>
      </w:pPr>
      <w:rPr>
        <w:rFonts w:hint="default"/>
        <w:lang w:val="pt-PT" w:eastAsia="en-US" w:bidi="ar-SA"/>
      </w:rPr>
    </w:lvl>
    <w:lvl w:ilvl="6" w:tplc="ED580354">
      <w:numFmt w:val="bullet"/>
      <w:lvlText w:val="•"/>
      <w:lvlJc w:val="left"/>
      <w:pPr>
        <w:ind w:left="5776" w:hanging="288"/>
      </w:pPr>
      <w:rPr>
        <w:rFonts w:hint="default"/>
        <w:lang w:val="pt-PT" w:eastAsia="en-US" w:bidi="ar-SA"/>
      </w:rPr>
    </w:lvl>
    <w:lvl w:ilvl="7" w:tplc="0B702B40">
      <w:numFmt w:val="bullet"/>
      <w:lvlText w:val="•"/>
      <w:lvlJc w:val="left"/>
      <w:pPr>
        <w:ind w:left="6692" w:hanging="288"/>
      </w:pPr>
      <w:rPr>
        <w:rFonts w:hint="default"/>
        <w:lang w:val="pt-PT" w:eastAsia="en-US" w:bidi="ar-SA"/>
      </w:rPr>
    </w:lvl>
    <w:lvl w:ilvl="8" w:tplc="B49E8B68">
      <w:numFmt w:val="bullet"/>
      <w:lvlText w:val="•"/>
      <w:lvlJc w:val="left"/>
      <w:pPr>
        <w:ind w:left="7608" w:hanging="288"/>
      </w:pPr>
      <w:rPr>
        <w:rFonts w:hint="default"/>
        <w:lang w:val="pt-PT" w:eastAsia="en-US" w:bidi="ar-SA"/>
      </w:rPr>
    </w:lvl>
  </w:abstractNum>
  <w:abstractNum w:abstractNumId="2" w15:restartNumberingAfterBreak="0">
    <w:nsid w:val="0A687BB6"/>
    <w:multiLevelType w:val="hybridMultilevel"/>
    <w:tmpl w:val="A72855B2"/>
    <w:lvl w:ilvl="0" w:tplc="F05C9880">
      <w:start w:val="4"/>
      <w:numFmt w:val="lowerLetter"/>
      <w:lvlText w:val="%1)"/>
      <w:lvlJc w:val="left"/>
      <w:pPr>
        <w:ind w:left="991" w:hanging="708"/>
        <w:jc w:val="right"/>
      </w:pPr>
      <w:rPr>
        <w:rFonts w:ascii="Arial" w:eastAsia="Arial" w:hAnsi="Arial" w:cs="Arial" w:hint="default"/>
        <w:b/>
        <w:bCs/>
        <w:i w:val="0"/>
        <w:iCs w:val="0"/>
        <w:spacing w:val="0"/>
        <w:w w:val="99"/>
        <w:sz w:val="20"/>
        <w:szCs w:val="20"/>
        <w:lang w:val="pt-PT" w:eastAsia="en-US" w:bidi="ar-SA"/>
      </w:rPr>
    </w:lvl>
    <w:lvl w:ilvl="1" w:tplc="E1425352">
      <w:numFmt w:val="bullet"/>
      <w:lvlText w:val="•"/>
      <w:lvlJc w:val="left"/>
      <w:pPr>
        <w:ind w:left="1844" w:hanging="708"/>
      </w:pPr>
      <w:rPr>
        <w:rFonts w:hint="default"/>
        <w:lang w:val="pt-PT" w:eastAsia="en-US" w:bidi="ar-SA"/>
      </w:rPr>
    </w:lvl>
    <w:lvl w:ilvl="2" w:tplc="F538F934">
      <w:numFmt w:val="bullet"/>
      <w:lvlText w:val="•"/>
      <w:lvlJc w:val="left"/>
      <w:pPr>
        <w:ind w:left="2688" w:hanging="708"/>
      </w:pPr>
      <w:rPr>
        <w:rFonts w:hint="default"/>
        <w:lang w:val="pt-PT" w:eastAsia="en-US" w:bidi="ar-SA"/>
      </w:rPr>
    </w:lvl>
    <w:lvl w:ilvl="3" w:tplc="F6747708">
      <w:numFmt w:val="bullet"/>
      <w:lvlText w:val="•"/>
      <w:lvlJc w:val="left"/>
      <w:pPr>
        <w:ind w:left="3532" w:hanging="708"/>
      </w:pPr>
      <w:rPr>
        <w:rFonts w:hint="default"/>
        <w:lang w:val="pt-PT" w:eastAsia="en-US" w:bidi="ar-SA"/>
      </w:rPr>
    </w:lvl>
    <w:lvl w:ilvl="4" w:tplc="D7C8B65A">
      <w:numFmt w:val="bullet"/>
      <w:lvlText w:val="•"/>
      <w:lvlJc w:val="left"/>
      <w:pPr>
        <w:ind w:left="4376" w:hanging="708"/>
      </w:pPr>
      <w:rPr>
        <w:rFonts w:hint="default"/>
        <w:lang w:val="pt-PT" w:eastAsia="en-US" w:bidi="ar-SA"/>
      </w:rPr>
    </w:lvl>
    <w:lvl w:ilvl="5" w:tplc="43CA1124">
      <w:numFmt w:val="bullet"/>
      <w:lvlText w:val="•"/>
      <w:lvlJc w:val="left"/>
      <w:pPr>
        <w:ind w:left="5220" w:hanging="708"/>
      </w:pPr>
      <w:rPr>
        <w:rFonts w:hint="default"/>
        <w:lang w:val="pt-PT" w:eastAsia="en-US" w:bidi="ar-SA"/>
      </w:rPr>
    </w:lvl>
    <w:lvl w:ilvl="6" w:tplc="DD86F59A">
      <w:numFmt w:val="bullet"/>
      <w:lvlText w:val="•"/>
      <w:lvlJc w:val="left"/>
      <w:pPr>
        <w:ind w:left="6064" w:hanging="708"/>
      </w:pPr>
      <w:rPr>
        <w:rFonts w:hint="default"/>
        <w:lang w:val="pt-PT" w:eastAsia="en-US" w:bidi="ar-SA"/>
      </w:rPr>
    </w:lvl>
    <w:lvl w:ilvl="7" w:tplc="D0C26218">
      <w:numFmt w:val="bullet"/>
      <w:lvlText w:val="•"/>
      <w:lvlJc w:val="left"/>
      <w:pPr>
        <w:ind w:left="6908" w:hanging="708"/>
      </w:pPr>
      <w:rPr>
        <w:rFonts w:hint="default"/>
        <w:lang w:val="pt-PT" w:eastAsia="en-US" w:bidi="ar-SA"/>
      </w:rPr>
    </w:lvl>
    <w:lvl w:ilvl="8" w:tplc="97985260">
      <w:numFmt w:val="bullet"/>
      <w:lvlText w:val="•"/>
      <w:lvlJc w:val="left"/>
      <w:pPr>
        <w:ind w:left="7752" w:hanging="708"/>
      </w:pPr>
      <w:rPr>
        <w:rFonts w:hint="default"/>
        <w:lang w:val="pt-PT" w:eastAsia="en-US" w:bidi="ar-SA"/>
      </w:rPr>
    </w:lvl>
  </w:abstractNum>
  <w:abstractNum w:abstractNumId="3" w15:restartNumberingAfterBreak="0">
    <w:nsid w:val="17EF70E3"/>
    <w:multiLevelType w:val="multilevel"/>
    <w:tmpl w:val="32125010"/>
    <w:lvl w:ilvl="0">
      <w:start w:val="5"/>
      <w:numFmt w:val="decimal"/>
      <w:lvlText w:val="%1"/>
      <w:lvlJc w:val="left"/>
      <w:pPr>
        <w:ind w:left="672" w:hanging="389"/>
        <w:jc w:val="left"/>
      </w:pPr>
      <w:rPr>
        <w:rFonts w:hint="default"/>
        <w:lang w:val="pt-PT" w:eastAsia="en-US" w:bidi="ar-SA"/>
      </w:rPr>
    </w:lvl>
    <w:lvl w:ilvl="1">
      <w:start w:val="1"/>
      <w:numFmt w:val="decimal"/>
      <w:lvlText w:val="%1.%2."/>
      <w:lvlJc w:val="left"/>
      <w:pPr>
        <w:ind w:left="672" w:hanging="389"/>
        <w:jc w:val="left"/>
      </w:pPr>
      <w:rPr>
        <w:rFonts w:ascii="Arial" w:eastAsia="Arial" w:hAnsi="Arial" w:cs="Arial" w:hint="default"/>
        <w:b/>
        <w:bCs/>
        <w:i w:val="0"/>
        <w:iCs w:val="0"/>
        <w:color w:val="FF0000"/>
        <w:spacing w:val="0"/>
        <w:w w:val="99"/>
        <w:sz w:val="20"/>
        <w:szCs w:val="20"/>
        <w:lang w:val="pt-PT" w:eastAsia="en-US" w:bidi="ar-SA"/>
      </w:rPr>
    </w:lvl>
    <w:lvl w:ilvl="2">
      <w:numFmt w:val="bullet"/>
      <w:lvlText w:val="•"/>
      <w:lvlJc w:val="left"/>
      <w:pPr>
        <w:ind w:left="2432" w:hanging="389"/>
      </w:pPr>
      <w:rPr>
        <w:rFonts w:hint="default"/>
        <w:lang w:val="pt-PT" w:eastAsia="en-US" w:bidi="ar-SA"/>
      </w:rPr>
    </w:lvl>
    <w:lvl w:ilvl="3">
      <w:numFmt w:val="bullet"/>
      <w:lvlText w:val="•"/>
      <w:lvlJc w:val="left"/>
      <w:pPr>
        <w:ind w:left="3308" w:hanging="389"/>
      </w:pPr>
      <w:rPr>
        <w:rFonts w:hint="default"/>
        <w:lang w:val="pt-PT" w:eastAsia="en-US" w:bidi="ar-SA"/>
      </w:rPr>
    </w:lvl>
    <w:lvl w:ilvl="4">
      <w:numFmt w:val="bullet"/>
      <w:lvlText w:val="•"/>
      <w:lvlJc w:val="left"/>
      <w:pPr>
        <w:ind w:left="4184" w:hanging="389"/>
      </w:pPr>
      <w:rPr>
        <w:rFonts w:hint="default"/>
        <w:lang w:val="pt-PT" w:eastAsia="en-US" w:bidi="ar-SA"/>
      </w:rPr>
    </w:lvl>
    <w:lvl w:ilvl="5">
      <w:numFmt w:val="bullet"/>
      <w:lvlText w:val="•"/>
      <w:lvlJc w:val="left"/>
      <w:pPr>
        <w:ind w:left="5060" w:hanging="389"/>
      </w:pPr>
      <w:rPr>
        <w:rFonts w:hint="default"/>
        <w:lang w:val="pt-PT" w:eastAsia="en-US" w:bidi="ar-SA"/>
      </w:rPr>
    </w:lvl>
    <w:lvl w:ilvl="6">
      <w:numFmt w:val="bullet"/>
      <w:lvlText w:val="•"/>
      <w:lvlJc w:val="left"/>
      <w:pPr>
        <w:ind w:left="5936" w:hanging="389"/>
      </w:pPr>
      <w:rPr>
        <w:rFonts w:hint="default"/>
        <w:lang w:val="pt-PT" w:eastAsia="en-US" w:bidi="ar-SA"/>
      </w:rPr>
    </w:lvl>
    <w:lvl w:ilvl="7">
      <w:numFmt w:val="bullet"/>
      <w:lvlText w:val="•"/>
      <w:lvlJc w:val="left"/>
      <w:pPr>
        <w:ind w:left="6812" w:hanging="389"/>
      </w:pPr>
      <w:rPr>
        <w:rFonts w:hint="default"/>
        <w:lang w:val="pt-PT" w:eastAsia="en-US" w:bidi="ar-SA"/>
      </w:rPr>
    </w:lvl>
    <w:lvl w:ilvl="8">
      <w:numFmt w:val="bullet"/>
      <w:lvlText w:val="•"/>
      <w:lvlJc w:val="left"/>
      <w:pPr>
        <w:ind w:left="7688" w:hanging="389"/>
      </w:pPr>
      <w:rPr>
        <w:rFonts w:hint="default"/>
        <w:lang w:val="pt-PT" w:eastAsia="en-US" w:bidi="ar-SA"/>
      </w:rPr>
    </w:lvl>
  </w:abstractNum>
  <w:abstractNum w:abstractNumId="4" w15:restartNumberingAfterBreak="0">
    <w:nsid w:val="1DFC13F3"/>
    <w:multiLevelType w:val="hybridMultilevel"/>
    <w:tmpl w:val="EE6AF224"/>
    <w:lvl w:ilvl="0" w:tplc="09A8C13E">
      <w:start w:val="1"/>
      <w:numFmt w:val="upperRoman"/>
      <w:lvlText w:val="%1"/>
      <w:lvlJc w:val="left"/>
      <w:pPr>
        <w:ind w:left="283" w:hanging="164"/>
        <w:jc w:val="left"/>
      </w:pPr>
      <w:rPr>
        <w:rFonts w:ascii="Arial MT" w:eastAsia="Arial MT" w:hAnsi="Arial MT" w:cs="Arial MT" w:hint="default"/>
        <w:b w:val="0"/>
        <w:bCs w:val="0"/>
        <w:i w:val="0"/>
        <w:iCs w:val="0"/>
        <w:color w:val="FF0000"/>
        <w:spacing w:val="0"/>
        <w:w w:val="99"/>
        <w:sz w:val="20"/>
        <w:szCs w:val="20"/>
        <w:lang w:val="pt-PT" w:eastAsia="en-US" w:bidi="ar-SA"/>
      </w:rPr>
    </w:lvl>
    <w:lvl w:ilvl="1" w:tplc="04DCC3E4">
      <w:numFmt w:val="bullet"/>
      <w:lvlText w:val="•"/>
      <w:lvlJc w:val="left"/>
      <w:pPr>
        <w:ind w:left="1196" w:hanging="164"/>
      </w:pPr>
      <w:rPr>
        <w:rFonts w:hint="default"/>
        <w:lang w:val="pt-PT" w:eastAsia="en-US" w:bidi="ar-SA"/>
      </w:rPr>
    </w:lvl>
    <w:lvl w:ilvl="2" w:tplc="B8562D88">
      <w:numFmt w:val="bullet"/>
      <w:lvlText w:val="•"/>
      <w:lvlJc w:val="left"/>
      <w:pPr>
        <w:ind w:left="2112" w:hanging="164"/>
      </w:pPr>
      <w:rPr>
        <w:rFonts w:hint="default"/>
        <w:lang w:val="pt-PT" w:eastAsia="en-US" w:bidi="ar-SA"/>
      </w:rPr>
    </w:lvl>
    <w:lvl w:ilvl="3" w:tplc="2B2CAE4E">
      <w:numFmt w:val="bullet"/>
      <w:lvlText w:val="•"/>
      <w:lvlJc w:val="left"/>
      <w:pPr>
        <w:ind w:left="3028" w:hanging="164"/>
      </w:pPr>
      <w:rPr>
        <w:rFonts w:hint="default"/>
        <w:lang w:val="pt-PT" w:eastAsia="en-US" w:bidi="ar-SA"/>
      </w:rPr>
    </w:lvl>
    <w:lvl w:ilvl="4" w:tplc="8798529C">
      <w:numFmt w:val="bullet"/>
      <w:lvlText w:val="•"/>
      <w:lvlJc w:val="left"/>
      <w:pPr>
        <w:ind w:left="3944" w:hanging="164"/>
      </w:pPr>
      <w:rPr>
        <w:rFonts w:hint="default"/>
        <w:lang w:val="pt-PT" w:eastAsia="en-US" w:bidi="ar-SA"/>
      </w:rPr>
    </w:lvl>
    <w:lvl w:ilvl="5" w:tplc="95B254EA">
      <w:numFmt w:val="bullet"/>
      <w:lvlText w:val="•"/>
      <w:lvlJc w:val="left"/>
      <w:pPr>
        <w:ind w:left="4860" w:hanging="164"/>
      </w:pPr>
      <w:rPr>
        <w:rFonts w:hint="default"/>
        <w:lang w:val="pt-PT" w:eastAsia="en-US" w:bidi="ar-SA"/>
      </w:rPr>
    </w:lvl>
    <w:lvl w:ilvl="6" w:tplc="22F44EA6">
      <w:numFmt w:val="bullet"/>
      <w:lvlText w:val="•"/>
      <w:lvlJc w:val="left"/>
      <w:pPr>
        <w:ind w:left="5776" w:hanging="164"/>
      </w:pPr>
      <w:rPr>
        <w:rFonts w:hint="default"/>
        <w:lang w:val="pt-PT" w:eastAsia="en-US" w:bidi="ar-SA"/>
      </w:rPr>
    </w:lvl>
    <w:lvl w:ilvl="7" w:tplc="91E6C994">
      <w:numFmt w:val="bullet"/>
      <w:lvlText w:val="•"/>
      <w:lvlJc w:val="left"/>
      <w:pPr>
        <w:ind w:left="6692" w:hanging="164"/>
      </w:pPr>
      <w:rPr>
        <w:rFonts w:hint="default"/>
        <w:lang w:val="pt-PT" w:eastAsia="en-US" w:bidi="ar-SA"/>
      </w:rPr>
    </w:lvl>
    <w:lvl w:ilvl="8" w:tplc="A7782198">
      <w:numFmt w:val="bullet"/>
      <w:lvlText w:val="•"/>
      <w:lvlJc w:val="left"/>
      <w:pPr>
        <w:ind w:left="7608" w:hanging="164"/>
      </w:pPr>
      <w:rPr>
        <w:rFonts w:hint="default"/>
        <w:lang w:val="pt-PT" w:eastAsia="en-US" w:bidi="ar-SA"/>
      </w:rPr>
    </w:lvl>
  </w:abstractNum>
  <w:abstractNum w:abstractNumId="5" w15:restartNumberingAfterBreak="0">
    <w:nsid w:val="2BB04B17"/>
    <w:multiLevelType w:val="multilevel"/>
    <w:tmpl w:val="3EF6BCF6"/>
    <w:lvl w:ilvl="0">
      <w:start w:val="3"/>
      <w:numFmt w:val="decimal"/>
      <w:lvlText w:val="%1"/>
      <w:lvlJc w:val="left"/>
      <w:pPr>
        <w:ind w:left="283" w:hanging="396"/>
        <w:jc w:val="left"/>
      </w:pPr>
      <w:rPr>
        <w:rFonts w:hint="default"/>
        <w:lang w:val="pt-PT" w:eastAsia="en-US" w:bidi="ar-SA"/>
      </w:rPr>
    </w:lvl>
    <w:lvl w:ilvl="1">
      <w:start w:val="7"/>
      <w:numFmt w:val="decimal"/>
      <w:lvlText w:val="%1.%2."/>
      <w:lvlJc w:val="left"/>
      <w:pPr>
        <w:ind w:left="283" w:hanging="396"/>
        <w:jc w:val="left"/>
      </w:pPr>
      <w:rPr>
        <w:rFonts w:hint="default"/>
        <w:spacing w:val="0"/>
        <w:w w:val="99"/>
        <w:lang w:val="pt-PT" w:eastAsia="en-US" w:bidi="ar-SA"/>
      </w:rPr>
    </w:lvl>
    <w:lvl w:ilvl="2">
      <w:numFmt w:val="bullet"/>
      <w:lvlText w:val="•"/>
      <w:lvlJc w:val="left"/>
      <w:pPr>
        <w:ind w:left="2112" w:hanging="396"/>
      </w:pPr>
      <w:rPr>
        <w:rFonts w:hint="default"/>
        <w:lang w:val="pt-PT" w:eastAsia="en-US" w:bidi="ar-SA"/>
      </w:rPr>
    </w:lvl>
    <w:lvl w:ilvl="3">
      <w:numFmt w:val="bullet"/>
      <w:lvlText w:val="•"/>
      <w:lvlJc w:val="left"/>
      <w:pPr>
        <w:ind w:left="3028" w:hanging="396"/>
      </w:pPr>
      <w:rPr>
        <w:rFonts w:hint="default"/>
        <w:lang w:val="pt-PT" w:eastAsia="en-US" w:bidi="ar-SA"/>
      </w:rPr>
    </w:lvl>
    <w:lvl w:ilvl="4">
      <w:numFmt w:val="bullet"/>
      <w:lvlText w:val="•"/>
      <w:lvlJc w:val="left"/>
      <w:pPr>
        <w:ind w:left="3944" w:hanging="396"/>
      </w:pPr>
      <w:rPr>
        <w:rFonts w:hint="default"/>
        <w:lang w:val="pt-PT" w:eastAsia="en-US" w:bidi="ar-SA"/>
      </w:rPr>
    </w:lvl>
    <w:lvl w:ilvl="5">
      <w:numFmt w:val="bullet"/>
      <w:lvlText w:val="•"/>
      <w:lvlJc w:val="left"/>
      <w:pPr>
        <w:ind w:left="4860" w:hanging="396"/>
      </w:pPr>
      <w:rPr>
        <w:rFonts w:hint="default"/>
        <w:lang w:val="pt-PT" w:eastAsia="en-US" w:bidi="ar-SA"/>
      </w:rPr>
    </w:lvl>
    <w:lvl w:ilvl="6">
      <w:numFmt w:val="bullet"/>
      <w:lvlText w:val="•"/>
      <w:lvlJc w:val="left"/>
      <w:pPr>
        <w:ind w:left="5776" w:hanging="396"/>
      </w:pPr>
      <w:rPr>
        <w:rFonts w:hint="default"/>
        <w:lang w:val="pt-PT" w:eastAsia="en-US" w:bidi="ar-SA"/>
      </w:rPr>
    </w:lvl>
    <w:lvl w:ilvl="7">
      <w:numFmt w:val="bullet"/>
      <w:lvlText w:val="•"/>
      <w:lvlJc w:val="left"/>
      <w:pPr>
        <w:ind w:left="6692" w:hanging="396"/>
      </w:pPr>
      <w:rPr>
        <w:rFonts w:hint="default"/>
        <w:lang w:val="pt-PT" w:eastAsia="en-US" w:bidi="ar-SA"/>
      </w:rPr>
    </w:lvl>
    <w:lvl w:ilvl="8">
      <w:numFmt w:val="bullet"/>
      <w:lvlText w:val="•"/>
      <w:lvlJc w:val="left"/>
      <w:pPr>
        <w:ind w:left="7608" w:hanging="396"/>
      </w:pPr>
      <w:rPr>
        <w:rFonts w:hint="default"/>
        <w:lang w:val="pt-PT" w:eastAsia="en-US" w:bidi="ar-SA"/>
      </w:rPr>
    </w:lvl>
  </w:abstractNum>
  <w:abstractNum w:abstractNumId="6" w15:restartNumberingAfterBreak="0">
    <w:nsid w:val="2CA870D2"/>
    <w:multiLevelType w:val="hybridMultilevel"/>
    <w:tmpl w:val="5B0407DC"/>
    <w:lvl w:ilvl="0" w:tplc="FCEA3C76">
      <w:start w:val="1"/>
      <w:numFmt w:val="lowerLetter"/>
      <w:lvlText w:val="%1)"/>
      <w:lvlJc w:val="left"/>
      <w:pPr>
        <w:tabs>
          <w:tab w:val="num" w:pos="1211"/>
        </w:tabs>
        <w:ind w:left="1211" w:hanging="360"/>
      </w:pPr>
      <w:rPr>
        <w:rFonts w:hint="default"/>
        <w:b/>
      </w:rPr>
    </w:lvl>
    <w:lvl w:ilvl="1" w:tplc="04160019" w:tentative="1">
      <w:start w:val="1"/>
      <w:numFmt w:val="lowerLetter"/>
      <w:lvlText w:val="%2."/>
      <w:lvlJc w:val="left"/>
      <w:pPr>
        <w:tabs>
          <w:tab w:val="num" w:pos="2291"/>
        </w:tabs>
        <w:ind w:left="2291" w:hanging="360"/>
      </w:pPr>
    </w:lvl>
    <w:lvl w:ilvl="2" w:tplc="0416001B" w:tentative="1">
      <w:start w:val="1"/>
      <w:numFmt w:val="lowerRoman"/>
      <w:lvlText w:val="%3."/>
      <w:lvlJc w:val="right"/>
      <w:pPr>
        <w:tabs>
          <w:tab w:val="num" w:pos="3011"/>
        </w:tabs>
        <w:ind w:left="3011" w:hanging="180"/>
      </w:pPr>
    </w:lvl>
    <w:lvl w:ilvl="3" w:tplc="0416000F" w:tentative="1">
      <w:start w:val="1"/>
      <w:numFmt w:val="decimal"/>
      <w:lvlText w:val="%4."/>
      <w:lvlJc w:val="left"/>
      <w:pPr>
        <w:tabs>
          <w:tab w:val="num" w:pos="3731"/>
        </w:tabs>
        <w:ind w:left="3731" w:hanging="360"/>
      </w:pPr>
    </w:lvl>
    <w:lvl w:ilvl="4" w:tplc="04160019" w:tentative="1">
      <w:start w:val="1"/>
      <w:numFmt w:val="lowerLetter"/>
      <w:lvlText w:val="%5."/>
      <w:lvlJc w:val="left"/>
      <w:pPr>
        <w:tabs>
          <w:tab w:val="num" w:pos="4451"/>
        </w:tabs>
        <w:ind w:left="4451" w:hanging="360"/>
      </w:pPr>
    </w:lvl>
    <w:lvl w:ilvl="5" w:tplc="0416001B" w:tentative="1">
      <w:start w:val="1"/>
      <w:numFmt w:val="lowerRoman"/>
      <w:lvlText w:val="%6."/>
      <w:lvlJc w:val="right"/>
      <w:pPr>
        <w:tabs>
          <w:tab w:val="num" w:pos="5171"/>
        </w:tabs>
        <w:ind w:left="5171" w:hanging="180"/>
      </w:pPr>
    </w:lvl>
    <w:lvl w:ilvl="6" w:tplc="0416000F" w:tentative="1">
      <w:start w:val="1"/>
      <w:numFmt w:val="decimal"/>
      <w:lvlText w:val="%7."/>
      <w:lvlJc w:val="left"/>
      <w:pPr>
        <w:tabs>
          <w:tab w:val="num" w:pos="5891"/>
        </w:tabs>
        <w:ind w:left="5891" w:hanging="360"/>
      </w:pPr>
    </w:lvl>
    <w:lvl w:ilvl="7" w:tplc="04160019" w:tentative="1">
      <w:start w:val="1"/>
      <w:numFmt w:val="lowerLetter"/>
      <w:lvlText w:val="%8."/>
      <w:lvlJc w:val="left"/>
      <w:pPr>
        <w:tabs>
          <w:tab w:val="num" w:pos="6611"/>
        </w:tabs>
        <w:ind w:left="6611" w:hanging="360"/>
      </w:pPr>
    </w:lvl>
    <w:lvl w:ilvl="8" w:tplc="0416001B" w:tentative="1">
      <w:start w:val="1"/>
      <w:numFmt w:val="lowerRoman"/>
      <w:lvlText w:val="%9."/>
      <w:lvlJc w:val="right"/>
      <w:pPr>
        <w:tabs>
          <w:tab w:val="num" w:pos="7331"/>
        </w:tabs>
        <w:ind w:left="7331" w:hanging="180"/>
      </w:pPr>
    </w:lvl>
  </w:abstractNum>
  <w:abstractNum w:abstractNumId="7" w15:restartNumberingAfterBreak="0">
    <w:nsid w:val="2F964D8B"/>
    <w:multiLevelType w:val="hybridMultilevel"/>
    <w:tmpl w:val="30C2F87E"/>
    <w:lvl w:ilvl="0" w:tplc="7B9EF58E">
      <w:start w:val="1"/>
      <w:numFmt w:val="decimal"/>
      <w:lvlText w:val="%1."/>
      <w:lvlJc w:val="left"/>
      <w:pPr>
        <w:ind w:left="328" w:hanging="221"/>
        <w:jc w:val="left"/>
      </w:pPr>
      <w:rPr>
        <w:rFonts w:ascii="Arial" w:eastAsia="Arial" w:hAnsi="Arial" w:cs="Arial" w:hint="default"/>
        <w:b/>
        <w:bCs/>
        <w:i w:val="0"/>
        <w:iCs w:val="0"/>
        <w:spacing w:val="0"/>
        <w:w w:val="99"/>
        <w:sz w:val="20"/>
        <w:szCs w:val="20"/>
        <w:lang w:val="pt-PT" w:eastAsia="en-US" w:bidi="ar-SA"/>
      </w:rPr>
    </w:lvl>
    <w:lvl w:ilvl="1" w:tplc="DD6C01BC">
      <w:numFmt w:val="bullet"/>
      <w:lvlText w:val="•"/>
      <w:lvlJc w:val="left"/>
      <w:pPr>
        <w:ind w:left="1202" w:hanging="221"/>
      </w:pPr>
      <w:rPr>
        <w:rFonts w:hint="default"/>
        <w:lang w:val="pt-PT" w:eastAsia="en-US" w:bidi="ar-SA"/>
      </w:rPr>
    </w:lvl>
    <w:lvl w:ilvl="2" w:tplc="E1623084">
      <w:numFmt w:val="bullet"/>
      <w:lvlText w:val="•"/>
      <w:lvlJc w:val="left"/>
      <w:pPr>
        <w:ind w:left="2085" w:hanging="221"/>
      </w:pPr>
      <w:rPr>
        <w:rFonts w:hint="default"/>
        <w:lang w:val="pt-PT" w:eastAsia="en-US" w:bidi="ar-SA"/>
      </w:rPr>
    </w:lvl>
    <w:lvl w:ilvl="3" w:tplc="AEBA9D12">
      <w:numFmt w:val="bullet"/>
      <w:lvlText w:val="•"/>
      <w:lvlJc w:val="left"/>
      <w:pPr>
        <w:ind w:left="2968" w:hanging="221"/>
      </w:pPr>
      <w:rPr>
        <w:rFonts w:hint="default"/>
        <w:lang w:val="pt-PT" w:eastAsia="en-US" w:bidi="ar-SA"/>
      </w:rPr>
    </w:lvl>
    <w:lvl w:ilvl="4" w:tplc="3DC874E4">
      <w:numFmt w:val="bullet"/>
      <w:lvlText w:val="•"/>
      <w:lvlJc w:val="left"/>
      <w:pPr>
        <w:ind w:left="3851" w:hanging="221"/>
      </w:pPr>
      <w:rPr>
        <w:rFonts w:hint="default"/>
        <w:lang w:val="pt-PT" w:eastAsia="en-US" w:bidi="ar-SA"/>
      </w:rPr>
    </w:lvl>
    <w:lvl w:ilvl="5" w:tplc="DDB065A4">
      <w:numFmt w:val="bullet"/>
      <w:lvlText w:val="•"/>
      <w:lvlJc w:val="left"/>
      <w:pPr>
        <w:ind w:left="4733" w:hanging="221"/>
      </w:pPr>
      <w:rPr>
        <w:rFonts w:hint="default"/>
        <w:lang w:val="pt-PT" w:eastAsia="en-US" w:bidi="ar-SA"/>
      </w:rPr>
    </w:lvl>
    <w:lvl w:ilvl="6" w:tplc="CB622AEC">
      <w:numFmt w:val="bullet"/>
      <w:lvlText w:val="•"/>
      <w:lvlJc w:val="left"/>
      <w:pPr>
        <w:ind w:left="5616" w:hanging="221"/>
      </w:pPr>
      <w:rPr>
        <w:rFonts w:hint="default"/>
        <w:lang w:val="pt-PT" w:eastAsia="en-US" w:bidi="ar-SA"/>
      </w:rPr>
    </w:lvl>
    <w:lvl w:ilvl="7" w:tplc="274C0288">
      <w:numFmt w:val="bullet"/>
      <w:lvlText w:val="•"/>
      <w:lvlJc w:val="left"/>
      <w:pPr>
        <w:ind w:left="6499" w:hanging="221"/>
      </w:pPr>
      <w:rPr>
        <w:rFonts w:hint="default"/>
        <w:lang w:val="pt-PT" w:eastAsia="en-US" w:bidi="ar-SA"/>
      </w:rPr>
    </w:lvl>
    <w:lvl w:ilvl="8" w:tplc="52F63602">
      <w:numFmt w:val="bullet"/>
      <w:lvlText w:val="•"/>
      <w:lvlJc w:val="left"/>
      <w:pPr>
        <w:ind w:left="7382" w:hanging="221"/>
      </w:pPr>
      <w:rPr>
        <w:rFonts w:hint="default"/>
        <w:lang w:val="pt-PT" w:eastAsia="en-US" w:bidi="ar-SA"/>
      </w:rPr>
    </w:lvl>
  </w:abstractNum>
  <w:abstractNum w:abstractNumId="8" w15:restartNumberingAfterBreak="0">
    <w:nsid w:val="31885BDC"/>
    <w:multiLevelType w:val="multilevel"/>
    <w:tmpl w:val="AE50A172"/>
    <w:lvl w:ilvl="0">
      <w:start w:val="7"/>
      <w:numFmt w:val="decimal"/>
      <w:lvlText w:val="%1"/>
      <w:lvlJc w:val="left"/>
      <w:pPr>
        <w:ind w:left="283" w:hanging="418"/>
        <w:jc w:val="left"/>
      </w:pPr>
      <w:rPr>
        <w:rFonts w:hint="default"/>
        <w:lang w:val="pt-PT" w:eastAsia="en-US" w:bidi="ar-SA"/>
      </w:rPr>
    </w:lvl>
    <w:lvl w:ilvl="1">
      <w:start w:val="1"/>
      <w:numFmt w:val="decimal"/>
      <w:lvlText w:val="%1.%2."/>
      <w:lvlJc w:val="left"/>
      <w:pPr>
        <w:ind w:left="283" w:hanging="418"/>
        <w:jc w:val="left"/>
      </w:pPr>
      <w:rPr>
        <w:rFonts w:ascii="Arial" w:eastAsia="Arial" w:hAnsi="Arial" w:cs="Arial" w:hint="default"/>
        <w:b/>
        <w:bCs/>
        <w:i w:val="0"/>
        <w:iCs w:val="0"/>
        <w:color w:val="FF0000"/>
        <w:spacing w:val="0"/>
        <w:w w:val="99"/>
        <w:sz w:val="20"/>
        <w:szCs w:val="20"/>
        <w:lang w:val="pt-PT" w:eastAsia="en-US" w:bidi="ar-SA"/>
      </w:rPr>
    </w:lvl>
    <w:lvl w:ilvl="2">
      <w:numFmt w:val="bullet"/>
      <w:lvlText w:val="•"/>
      <w:lvlJc w:val="left"/>
      <w:pPr>
        <w:ind w:left="2112" w:hanging="418"/>
      </w:pPr>
      <w:rPr>
        <w:rFonts w:hint="default"/>
        <w:lang w:val="pt-PT" w:eastAsia="en-US" w:bidi="ar-SA"/>
      </w:rPr>
    </w:lvl>
    <w:lvl w:ilvl="3">
      <w:numFmt w:val="bullet"/>
      <w:lvlText w:val="•"/>
      <w:lvlJc w:val="left"/>
      <w:pPr>
        <w:ind w:left="3028" w:hanging="418"/>
      </w:pPr>
      <w:rPr>
        <w:rFonts w:hint="default"/>
        <w:lang w:val="pt-PT" w:eastAsia="en-US" w:bidi="ar-SA"/>
      </w:rPr>
    </w:lvl>
    <w:lvl w:ilvl="4">
      <w:numFmt w:val="bullet"/>
      <w:lvlText w:val="•"/>
      <w:lvlJc w:val="left"/>
      <w:pPr>
        <w:ind w:left="3944" w:hanging="418"/>
      </w:pPr>
      <w:rPr>
        <w:rFonts w:hint="default"/>
        <w:lang w:val="pt-PT" w:eastAsia="en-US" w:bidi="ar-SA"/>
      </w:rPr>
    </w:lvl>
    <w:lvl w:ilvl="5">
      <w:numFmt w:val="bullet"/>
      <w:lvlText w:val="•"/>
      <w:lvlJc w:val="left"/>
      <w:pPr>
        <w:ind w:left="4860" w:hanging="418"/>
      </w:pPr>
      <w:rPr>
        <w:rFonts w:hint="default"/>
        <w:lang w:val="pt-PT" w:eastAsia="en-US" w:bidi="ar-SA"/>
      </w:rPr>
    </w:lvl>
    <w:lvl w:ilvl="6">
      <w:numFmt w:val="bullet"/>
      <w:lvlText w:val="•"/>
      <w:lvlJc w:val="left"/>
      <w:pPr>
        <w:ind w:left="5776" w:hanging="418"/>
      </w:pPr>
      <w:rPr>
        <w:rFonts w:hint="default"/>
        <w:lang w:val="pt-PT" w:eastAsia="en-US" w:bidi="ar-SA"/>
      </w:rPr>
    </w:lvl>
    <w:lvl w:ilvl="7">
      <w:numFmt w:val="bullet"/>
      <w:lvlText w:val="•"/>
      <w:lvlJc w:val="left"/>
      <w:pPr>
        <w:ind w:left="6692" w:hanging="418"/>
      </w:pPr>
      <w:rPr>
        <w:rFonts w:hint="default"/>
        <w:lang w:val="pt-PT" w:eastAsia="en-US" w:bidi="ar-SA"/>
      </w:rPr>
    </w:lvl>
    <w:lvl w:ilvl="8">
      <w:numFmt w:val="bullet"/>
      <w:lvlText w:val="•"/>
      <w:lvlJc w:val="left"/>
      <w:pPr>
        <w:ind w:left="7608" w:hanging="418"/>
      </w:pPr>
      <w:rPr>
        <w:rFonts w:hint="default"/>
        <w:lang w:val="pt-PT" w:eastAsia="en-US" w:bidi="ar-SA"/>
      </w:rPr>
    </w:lvl>
  </w:abstractNum>
  <w:abstractNum w:abstractNumId="9" w15:restartNumberingAfterBreak="0">
    <w:nsid w:val="3A116767"/>
    <w:multiLevelType w:val="multilevel"/>
    <w:tmpl w:val="E3942264"/>
    <w:lvl w:ilvl="0">
      <w:start w:val="1"/>
      <w:numFmt w:val="decimal"/>
      <w:lvlText w:val="%1."/>
      <w:lvlJc w:val="left"/>
      <w:pPr>
        <w:ind w:left="892" w:hanging="610"/>
        <w:jc w:val="left"/>
      </w:pPr>
      <w:rPr>
        <w:rFonts w:ascii="Arial" w:eastAsia="Arial" w:hAnsi="Arial" w:cs="Arial" w:hint="default"/>
        <w:b/>
        <w:bCs/>
        <w:i w:val="0"/>
        <w:iCs w:val="0"/>
        <w:spacing w:val="0"/>
        <w:w w:val="99"/>
        <w:sz w:val="20"/>
        <w:szCs w:val="20"/>
        <w:lang w:val="pt-PT" w:eastAsia="en-US" w:bidi="ar-SA"/>
      </w:rPr>
    </w:lvl>
    <w:lvl w:ilvl="1">
      <w:start w:val="1"/>
      <w:numFmt w:val="decimal"/>
      <w:lvlText w:val="%1.%2."/>
      <w:lvlJc w:val="left"/>
      <w:pPr>
        <w:ind w:left="782" w:hanging="499"/>
        <w:jc w:val="left"/>
      </w:pPr>
      <w:rPr>
        <w:rFonts w:hint="default"/>
        <w:spacing w:val="0"/>
        <w:w w:val="99"/>
        <w:lang w:val="pt-PT" w:eastAsia="en-US" w:bidi="ar-SA"/>
      </w:rPr>
    </w:lvl>
    <w:lvl w:ilvl="2">
      <w:start w:val="1"/>
      <w:numFmt w:val="decimal"/>
      <w:lvlText w:val="%1.%2.%3."/>
      <w:lvlJc w:val="left"/>
      <w:pPr>
        <w:ind w:left="893" w:hanging="611"/>
        <w:jc w:val="left"/>
      </w:pPr>
      <w:rPr>
        <w:rFonts w:hint="default"/>
        <w:spacing w:val="0"/>
        <w:w w:val="99"/>
        <w:lang w:val="pt-PT" w:eastAsia="en-US" w:bidi="ar-SA"/>
      </w:rPr>
    </w:lvl>
    <w:lvl w:ilvl="3">
      <w:start w:val="1"/>
      <w:numFmt w:val="decimal"/>
      <w:lvlText w:val="%1.%2.%3.%4."/>
      <w:lvlJc w:val="left"/>
      <w:pPr>
        <w:ind w:left="283" w:hanging="611"/>
        <w:jc w:val="left"/>
      </w:pPr>
      <w:rPr>
        <w:rFonts w:ascii="Arial" w:eastAsia="Arial" w:hAnsi="Arial" w:cs="Arial" w:hint="default"/>
        <w:b/>
        <w:bCs/>
        <w:i w:val="0"/>
        <w:iCs w:val="0"/>
        <w:spacing w:val="0"/>
        <w:w w:val="99"/>
        <w:sz w:val="20"/>
        <w:szCs w:val="20"/>
        <w:lang w:val="pt-PT" w:eastAsia="en-US" w:bidi="ar-SA"/>
      </w:rPr>
    </w:lvl>
    <w:lvl w:ilvl="4">
      <w:numFmt w:val="bullet"/>
      <w:lvlText w:val="•"/>
      <w:lvlJc w:val="left"/>
      <w:pPr>
        <w:ind w:left="840" w:hanging="611"/>
      </w:pPr>
      <w:rPr>
        <w:rFonts w:hint="default"/>
        <w:lang w:val="pt-PT" w:eastAsia="en-US" w:bidi="ar-SA"/>
      </w:rPr>
    </w:lvl>
    <w:lvl w:ilvl="5">
      <w:numFmt w:val="bullet"/>
      <w:lvlText w:val="•"/>
      <w:lvlJc w:val="left"/>
      <w:pPr>
        <w:ind w:left="900" w:hanging="611"/>
      </w:pPr>
      <w:rPr>
        <w:rFonts w:hint="default"/>
        <w:lang w:val="pt-PT" w:eastAsia="en-US" w:bidi="ar-SA"/>
      </w:rPr>
    </w:lvl>
    <w:lvl w:ilvl="6">
      <w:numFmt w:val="bullet"/>
      <w:lvlText w:val="•"/>
      <w:lvlJc w:val="left"/>
      <w:pPr>
        <w:ind w:left="1100" w:hanging="611"/>
      </w:pPr>
      <w:rPr>
        <w:rFonts w:hint="default"/>
        <w:lang w:val="pt-PT" w:eastAsia="en-US" w:bidi="ar-SA"/>
      </w:rPr>
    </w:lvl>
    <w:lvl w:ilvl="7">
      <w:numFmt w:val="bullet"/>
      <w:lvlText w:val="•"/>
      <w:lvlJc w:val="left"/>
      <w:pPr>
        <w:ind w:left="1120" w:hanging="611"/>
      </w:pPr>
      <w:rPr>
        <w:rFonts w:hint="default"/>
        <w:lang w:val="pt-PT" w:eastAsia="en-US" w:bidi="ar-SA"/>
      </w:rPr>
    </w:lvl>
    <w:lvl w:ilvl="8">
      <w:numFmt w:val="bullet"/>
      <w:lvlText w:val="•"/>
      <w:lvlJc w:val="left"/>
      <w:pPr>
        <w:ind w:left="3893" w:hanging="611"/>
      </w:pPr>
      <w:rPr>
        <w:rFonts w:hint="default"/>
        <w:lang w:val="pt-PT" w:eastAsia="en-US" w:bidi="ar-SA"/>
      </w:rPr>
    </w:lvl>
  </w:abstractNum>
  <w:abstractNum w:abstractNumId="10" w15:restartNumberingAfterBreak="0">
    <w:nsid w:val="3CDE5568"/>
    <w:multiLevelType w:val="multilevel"/>
    <w:tmpl w:val="CF7C7A3C"/>
    <w:lvl w:ilvl="0">
      <w:start w:val="4"/>
      <w:numFmt w:val="decimal"/>
      <w:lvlText w:val="%1"/>
      <w:lvlJc w:val="left"/>
      <w:pPr>
        <w:ind w:left="283" w:hanging="442"/>
        <w:jc w:val="left"/>
      </w:pPr>
      <w:rPr>
        <w:rFonts w:hint="default"/>
        <w:lang w:val="pt-PT" w:eastAsia="en-US" w:bidi="ar-SA"/>
      </w:rPr>
    </w:lvl>
    <w:lvl w:ilvl="1">
      <w:start w:val="2"/>
      <w:numFmt w:val="decimal"/>
      <w:lvlText w:val="%1.%2."/>
      <w:lvlJc w:val="left"/>
      <w:pPr>
        <w:ind w:left="283" w:hanging="442"/>
        <w:jc w:val="left"/>
      </w:pPr>
      <w:rPr>
        <w:rFonts w:ascii="Arial" w:eastAsia="Arial" w:hAnsi="Arial" w:cs="Arial" w:hint="default"/>
        <w:b/>
        <w:bCs/>
        <w:i w:val="0"/>
        <w:iCs w:val="0"/>
        <w:color w:val="FF0000"/>
        <w:spacing w:val="0"/>
        <w:w w:val="99"/>
        <w:sz w:val="20"/>
        <w:szCs w:val="20"/>
        <w:lang w:val="pt-PT" w:eastAsia="en-US" w:bidi="ar-SA"/>
      </w:rPr>
    </w:lvl>
    <w:lvl w:ilvl="2">
      <w:start w:val="1"/>
      <w:numFmt w:val="decimal"/>
      <w:lvlText w:val="%1.%2.%3."/>
      <w:lvlJc w:val="left"/>
      <w:pPr>
        <w:ind w:left="283" w:hanging="605"/>
        <w:jc w:val="left"/>
      </w:pPr>
      <w:rPr>
        <w:rFonts w:ascii="Arial" w:eastAsia="Arial" w:hAnsi="Arial" w:cs="Arial" w:hint="default"/>
        <w:b/>
        <w:bCs/>
        <w:i w:val="0"/>
        <w:iCs w:val="0"/>
        <w:color w:val="FF0000"/>
        <w:spacing w:val="-1"/>
        <w:w w:val="99"/>
        <w:sz w:val="20"/>
        <w:szCs w:val="20"/>
        <w:lang w:val="pt-PT" w:eastAsia="en-US" w:bidi="ar-SA"/>
      </w:rPr>
    </w:lvl>
    <w:lvl w:ilvl="3">
      <w:numFmt w:val="bullet"/>
      <w:lvlText w:val="•"/>
      <w:lvlJc w:val="left"/>
      <w:pPr>
        <w:ind w:left="3028" w:hanging="605"/>
      </w:pPr>
      <w:rPr>
        <w:rFonts w:hint="default"/>
        <w:lang w:val="pt-PT" w:eastAsia="en-US" w:bidi="ar-SA"/>
      </w:rPr>
    </w:lvl>
    <w:lvl w:ilvl="4">
      <w:numFmt w:val="bullet"/>
      <w:lvlText w:val="•"/>
      <w:lvlJc w:val="left"/>
      <w:pPr>
        <w:ind w:left="3944" w:hanging="605"/>
      </w:pPr>
      <w:rPr>
        <w:rFonts w:hint="default"/>
        <w:lang w:val="pt-PT" w:eastAsia="en-US" w:bidi="ar-SA"/>
      </w:rPr>
    </w:lvl>
    <w:lvl w:ilvl="5">
      <w:numFmt w:val="bullet"/>
      <w:lvlText w:val="•"/>
      <w:lvlJc w:val="left"/>
      <w:pPr>
        <w:ind w:left="4860" w:hanging="605"/>
      </w:pPr>
      <w:rPr>
        <w:rFonts w:hint="default"/>
        <w:lang w:val="pt-PT" w:eastAsia="en-US" w:bidi="ar-SA"/>
      </w:rPr>
    </w:lvl>
    <w:lvl w:ilvl="6">
      <w:numFmt w:val="bullet"/>
      <w:lvlText w:val="•"/>
      <w:lvlJc w:val="left"/>
      <w:pPr>
        <w:ind w:left="5776" w:hanging="605"/>
      </w:pPr>
      <w:rPr>
        <w:rFonts w:hint="default"/>
        <w:lang w:val="pt-PT" w:eastAsia="en-US" w:bidi="ar-SA"/>
      </w:rPr>
    </w:lvl>
    <w:lvl w:ilvl="7">
      <w:numFmt w:val="bullet"/>
      <w:lvlText w:val="•"/>
      <w:lvlJc w:val="left"/>
      <w:pPr>
        <w:ind w:left="6692" w:hanging="605"/>
      </w:pPr>
      <w:rPr>
        <w:rFonts w:hint="default"/>
        <w:lang w:val="pt-PT" w:eastAsia="en-US" w:bidi="ar-SA"/>
      </w:rPr>
    </w:lvl>
    <w:lvl w:ilvl="8">
      <w:numFmt w:val="bullet"/>
      <w:lvlText w:val="•"/>
      <w:lvlJc w:val="left"/>
      <w:pPr>
        <w:ind w:left="7608" w:hanging="605"/>
      </w:pPr>
      <w:rPr>
        <w:rFonts w:hint="default"/>
        <w:lang w:val="pt-PT" w:eastAsia="en-US" w:bidi="ar-SA"/>
      </w:rPr>
    </w:lvl>
  </w:abstractNum>
  <w:abstractNum w:abstractNumId="11" w15:restartNumberingAfterBreak="0">
    <w:nsid w:val="45DF2F23"/>
    <w:multiLevelType w:val="multilevel"/>
    <w:tmpl w:val="7ACA09E4"/>
    <w:lvl w:ilvl="0">
      <w:start w:val="10"/>
      <w:numFmt w:val="decimal"/>
      <w:lvlText w:val="%1"/>
      <w:lvlJc w:val="left"/>
      <w:pPr>
        <w:ind w:left="283" w:hanging="499"/>
        <w:jc w:val="left"/>
      </w:pPr>
      <w:rPr>
        <w:rFonts w:hint="default"/>
        <w:lang w:val="pt-PT" w:eastAsia="en-US" w:bidi="ar-SA"/>
      </w:rPr>
    </w:lvl>
    <w:lvl w:ilvl="1">
      <w:start w:val="7"/>
      <w:numFmt w:val="decimal"/>
      <w:lvlText w:val="%1.%2."/>
      <w:lvlJc w:val="left"/>
      <w:pPr>
        <w:ind w:left="283" w:hanging="499"/>
        <w:jc w:val="left"/>
      </w:pPr>
      <w:rPr>
        <w:rFonts w:hint="default"/>
        <w:spacing w:val="0"/>
        <w:w w:val="99"/>
        <w:lang w:val="pt-PT" w:eastAsia="en-US" w:bidi="ar-SA"/>
      </w:rPr>
    </w:lvl>
    <w:lvl w:ilvl="2">
      <w:numFmt w:val="bullet"/>
      <w:lvlText w:val="•"/>
      <w:lvlJc w:val="left"/>
      <w:pPr>
        <w:ind w:left="2112" w:hanging="499"/>
      </w:pPr>
      <w:rPr>
        <w:rFonts w:hint="default"/>
        <w:lang w:val="pt-PT" w:eastAsia="en-US" w:bidi="ar-SA"/>
      </w:rPr>
    </w:lvl>
    <w:lvl w:ilvl="3">
      <w:numFmt w:val="bullet"/>
      <w:lvlText w:val="•"/>
      <w:lvlJc w:val="left"/>
      <w:pPr>
        <w:ind w:left="3028" w:hanging="499"/>
      </w:pPr>
      <w:rPr>
        <w:rFonts w:hint="default"/>
        <w:lang w:val="pt-PT" w:eastAsia="en-US" w:bidi="ar-SA"/>
      </w:rPr>
    </w:lvl>
    <w:lvl w:ilvl="4">
      <w:numFmt w:val="bullet"/>
      <w:lvlText w:val="•"/>
      <w:lvlJc w:val="left"/>
      <w:pPr>
        <w:ind w:left="3944" w:hanging="499"/>
      </w:pPr>
      <w:rPr>
        <w:rFonts w:hint="default"/>
        <w:lang w:val="pt-PT" w:eastAsia="en-US" w:bidi="ar-SA"/>
      </w:rPr>
    </w:lvl>
    <w:lvl w:ilvl="5">
      <w:numFmt w:val="bullet"/>
      <w:lvlText w:val="•"/>
      <w:lvlJc w:val="left"/>
      <w:pPr>
        <w:ind w:left="4860" w:hanging="499"/>
      </w:pPr>
      <w:rPr>
        <w:rFonts w:hint="default"/>
        <w:lang w:val="pt-PT" w:eastAsia="en-US" w:bidi="ar-SA"/>
      </w:rPr>
    </w:lvl>
    <w:lvl w:ilvl="6">
      <w:numFmt w:val="bullet"/>
      <w:lvlText w:val="•"/>
      <w:lvlJc w:val="left"/>
      <w:pPr>
        <w:ind w:left="5776" w:hanging="499"/>
      </w:pPr>
      <w:rPr>
        <w:rFonts w:hint="default"/>
        <w:lang w:val="pt-PT" w:eastAsia="en-US" w:bidi="ar-SA"/>
      </w:rPr>
    </w:lvl>
    <w:lvl w:ilvl="7">
      <w:numFmt w:val="bullet"/>
      <w:lvlText w:val="•"/>
      <w:lvlJc w:val="left"/>
      <w:pPr>
        <w:ind w:left="6692" w:hanging="499"/>
      </w:pPr>
      <w:rPr>
        <w:rFonts w:hint="default"/>
        <w:lang w:val="pt-PT" w:eastAsia="en-US" w:bidi="ar-SA"/>
      </w:rPr>
    </w:lvl>
    <w:lvl w:ilvl="8">
      <w:numFmt w:val="bullet"/>
      <w:lvlText w:val="•"/>
      <w:lvlJc w:val="left"/>
      <w:pPr>
        <w:ind w:left="7608" w:hanging="499"/>
      </w:pPr>
      <w:rPr>
        <w:rFonts w:hint="default"/>
        <w:lang w:val="pt-PT" w:eastAsia="en-US" w:bidi="ar-SA"/>
      </w:rPr>
    </w:lvl>
  </w:abstractNum>
  <w:abstractNum w:abstractNumId="12" w15:restartNumberingAfterBreak="0">
    <w:nsid w:val="597F23ED"/>
    <w:multiLevelType w:val="multilevel"/>
    <w:tmpl w:val="CFAA5A48"/>
    <w:lvl w:ilvl="0">
      <w:start w:val="1"/>
      <w:numFmt w:val="lowerLetter"/>
      <w:lvlText w:val="%1)"/>
      <w:lvlJc w:val="left"/>
      <w:pPr>
        <w:ind w:left="516" w:hanging="233"/>
        <w:jc w:val="left"/>
      </w:pPr>
      <w:rPr>
        <w:rFonts w:ascii="Arial MT" w:eastAsia="Arial MT" w:hAnsi="Arial MT" w:cs="Arial MT" w:hint="default"/>
        <w:b w:val="0"/>
        <w:bCs w:val="0"/>
        <w:i w:val="0"/>
        <w:iCs w:val="0"/>
        <w:spacing w:val="0"/>
        <w:w w:val="99"/>
        <w:sz w:val="20"/>
        <w:szCs w:val="20"/>
        <w:lang w:val="pt-PT" w:eastAsia="en-US" w:bidi="ar-SA"/>
      </w:rPr>
    </w:lvl>
    <w:lvl w:ilvl="1">
      <w:start w:val="1"/>
      <w:numFmt w:val="decimal"/>
      <w:lvlText w:val="%1.%2)"/>
      <w:lvlJc w:val="left"/>
      <w:pPr>
        <w:ind w:left="1135" w:hanging="440"/>
        <w:jc w:val="left"/>
      </w:pPr>
      <w:rPr>
        <w:rFonts w:ascii="Arial" w:eastAsia="Arial" w:hAnsi="Arial" w:cs="Arial" w:hint="default"/>
        <w:b/>
        <w:bCs/>
        <w:i w:val="0"/>
        <w:iCs w:val="0"/>
        <w:spacing w:val="0"/>
        <w:w w:val="99"/>
        <w:sz w:val="20"/>
        <w:szCs w:val="20"/>
        <w:lang w:val="pt-PT" w:eastAsia="en-US" w:bidi="ar-SA"/>
      </w:rPr>
    </w:lvl>
    <w:lvl w:ilvl="2">
      <w:numFmt w:val="bullet"/>
      <w:lvlText w:val="•"/>
      <w:lvlJc w:val="left"/>
      <w:pPr>
        <w:ind w:left="2062" w:hanging="440"/>
      </w:pPr>
      <w:rPr>
        <w:rFonts w:hint="default"/>
        <w:lang w:val="pt-PT" w:eastAsia="en-US" w:bidi="ar-SA"/>
      </w:rPr>
    </w:lvl>
    <w:lvl w:ilvl="3">
      <w:numFmt w:val="bullet"/>
      <w:lvlText w:val="•"/>
      <w:lvlJc w:val="left"/>
      <w:pPr>
        <w:ind w:left="2984" w:hanging="440"/>
      </w:pPr>
      <w:rPr>
        <w:rFonts w:hint="default"/>
        <w:lang w:val="pt-PT" w:eastAsia="en-US" w:bidi="ar-SA"/>
      </w:rPr>
    </w:lvl>
    <w:lvl w:ilvl="4">
      <w:numFmt w:val="bullet"/>
      <w:lvlText w:val="•"/>
      <w:lvlJc w:val="left"/>
      <w:pPr>
        <w:ind w:left="3906" w:hanging="440"/>
      </w:pPr>
      <w:rPr>
        <w:rFonts w:hint="default"/>
        <w:lang w:val="pt-PT" w:eastAsia="en-US" w:bidi="ar-SA"/>
      </w:rPr>
    </w:lvl>
    <w:lvl w:ilvl="5">
      <w:numFmt w:val="bullet"/>
      <w:lvlText w:val="•"/>
      <w:lvlJc w:val="left"/>
      <w:pPr>
        <w:ind w:left="4828" w:hanging="440"/>
      </w:pPr>
      <w:rPr>
        <w:rFonts w:hint="default"/>
        <w:lang w:val="pt-PT" w:eastAsia="en-US" w:bidi="ar-SA"/>
      </w:rPr>
    </w:lvl>
    <w:lvl w:ilvl="6">
      <w:numFmt w:val="bullet"/>
      <w:lvlText w:val="•"/>
      <w:lvlJc w:val="left"/>
      <w:pPr>
        <w:ind w:left="5751" w:hanging="440"/>
      </w:pPr>
      <w:rPr>
        <w:rFonts w:hint="default"/>
        <w:lang w:val="pt-PT" w:eastAsia="en-US" w:bidi="ar-SA"/>
      </w:rPr>
    </w:lvl>
    <w:lvl w:ilvl="7">
      <w:numFmt w:val="bullet"/>
      <w:lvlText w:val="•"/>
      <w:lvlJc w:val="left"/>
      <w:pPr>
        <w:ind w:left="6673" w:hanging="440"/>
      </w:pPr>
      <w:rPr>
        <w:rFonts w:hint="default"/>
        <w:lang w:val="pt-PT" w:eastAsia="en-US" w:bidi="ar-SA"/>
      </w:rPr>
    </w:lvl>
    <w:lvl w:ilvl="8">
      <w:numFmt w:val="bullet"/>
      <w:lvlText w:val="•"/>
      <w:lvlJc w:val="left"/>
      <w:pPr>
        <w:ind w:left="7595" w:hanging="440"/>
      </w:pPr>
      <w:rPr>
        <w:rFonts w:hint="default"/>
        <w:lang w:val="pt-PT" w:eastAsia="en-US" w:bidi="ar-SA"/>
      </w:rPr>
    </w:lvl>
  </w:abstractNum>
  <w:abstractNum w:abstractNumId="13" w15:restartNumberingAfterBreak="0">
    <w:nsid w:val="5AEB2C6D"/>
    <w:multiLevelType w:val="hybridMultilevel"/>
    <w:tmpl w:val="046CFDBE"/>
    <w:lvl w:ilvl="0" w:tplc="18980888">
      <w:start w:val="1"/>
      <w:numFmt w:val="lowerLetter"/>
      <w:lvlText w:val="%1)"/>
      <w:lvlJc w:val="left"/>
      <w:pPr>
        <w:ind w:left="283" w:hanging="219"/>
        <w:jc w:val="left"/>
      </w:pPr>
      <w:rPr>
        <w:rFonts w:ascii="Arial MT" w:eastAsia="Arial MT" w:hAnsi="Arial MT" w:cs="Arial MT" w:hint="default"/>
        <w:b w:val="0"/>
        <w:bCs w:val="0"/>
        <w:i w:val="0"/>
        <w:iCs w:val="0"/>
        <w:spacing w:val="0"/>
        <w:w w:val="99"/>
        <w:sz w:val="20"/>
        <w:szCs w:val="20"/>
        <w:lang w:val="pt-PT" w:eastAsia="en-US" w:bidi="ar-SA"/>
      </w:rPr>
    </w:lvl>
    <w:lvl w:ilvl="1" w:tplc="B45E2ACE">
      <w:numFmt w:val="bullet"/>
      <w:lvlText w:val="•"/>
      <w:lvlJc w:val="left"/>
      <w:pPr>
        <w:ind w:left="1196" w:hanging="219"/>
      </w:pPr>
      <w:rPr>
        <w:rFonts w:hint="default"/>
        <w:lang w:val="pt-PT" w:eastAsia="en-US" w:bidi="ar-SA"/>
      </w:rPr>
    </w:lvl>
    <w:lvl w:ilvl="2" w:tplc="AEE405D6">
      <w:numFmt w:val="bullet"/>
      <w:lvlText w:val="•"/>
      <w:lvlJc w:val="left"/>
      <w:pPr>
        <w:ind w:left="2112" w:hanging="219"/>
      </w:pPr>
      <w:rPr>
        <w:rFonts w:hint="default"/>
        <w:lang w:val="pt-PT" w:eastAsia="en-US" w:bidi="ar-SA"/>
      </w:rPr>
    </w:lvl>
    <w:lvl w:ilvl="3" w:tplc="649C3208">
      <w:numFmt w:val="bullet"/>
      <w:lvlText w:val="•"/>
      <w:lvlJc w:val="left"/>
      <w:pPr>
        <w:ind w:left="3028" w:hanging="219"/>
      </w:pPr>
      <w:rPr>
        <w:rFonts w:hint="default"/>
        <w:lang w:val="pt-PT" w:eastAsia="en-US" w:bidi="ar-SA"/>
      </w:rPr>
    </w:lvl>
    <w:lvl w:ilvl="4" w:tplc="EDB28A66">
      <w:numFmt w:val="bullet"/>
      <w:lvlText w:val="•"/>
      <w:lvlJc w:val="left"/>
      <w:pPr>
        <w:ind w:left="3944" w:hanging="219"/>
      </w:pPr>
      <w:rPr>
        <w:rFonts w:hint="default"/>
        <w:lang w:val="pt-PT" w:eastAsia="en-US" w:bidi="ar-SA"/>
      </w:rPr>
    </w:lvl>
    <w:lvl w:ilvl="5" w:tplc="04EE8DDC">
      <w:numFmt w:val="bullet"/>
      <w:lvlText w:val="•"/>
      <w:lvlJc w:val="left"/>
      <w:pPr>
        <w:ind w:left="4860" w:hanging="219"/>
      </w:pPr>
      <w:rPr>
        <w:rFonts w:hint="default"/>
        <w:lang w:val="pt-PT" w:eastAsia="en-US" w:bidi="ar-SA"/>
      </w:rPr>
    </w:lvl>
    <w:lvl w:ilvl="6" w:tplc="97F289C4">
      <w:numFmt w:val="bullet"/>
      <w:lvlText w:val="•"/>
      <w:lvlJc w:val="left"/>
      <w:pPr>
        <w:ind w:left="5776" w:hanging="219"/>
      </w:pPr>
      <w:rPr>
        <w:rFonts w:hint="default"/>
        <w:lang w:val="pt-PT" w:eastAsia="en-US" w:bidi="ar-SA"/>
      </w:rPr>
    </w:lvl>
    <w:lvl w:ilvl="7" w:tplc="AD6A30BC">
      <w:numFmt w:val="bullet"/>
      <w:lvlText w:val="•"/>
      <w:lvlJc w:val="left"/>
      <w:pPr>
        <w:ind w:left="6692" w:hanging="219"/>
      </w:pPr>
      <w:rPr>
        <w:rFonts w:hint="default"/>
        <w:lang w:val="pt-PT" w:eastAsia="en-US" w:bidi="ar-SA"/>
      </w:rPr>
    </w:lvl>
    <w:lvl w:ilvl="8" w:tplc="068A1D92">
      <w:numFmt w:val="bullet"/>
      <w:lvlText w:val="•"/>
      <w:lvlJc w:val="left"/>
      <w:pPr>
        <w:ind w:left="7608" w:hanging="219"/>
      </w:pPr>
      <w:rPr>
        <w:rFonts w:hint="default"/>
        <w:lang w:val="pt-PT" w:eastAsia="en-US" w:bidi="ar-SA"/>
      </w:rPr>
    </w:lvl>
  </w:abstractNum>
  <w:abstractNum w:abstractNumId="14" w15:restartNumberingAfterBreak="0">
    <w:nsid w:val="5B07600C"/>
    <w:multiLevelType w:val="multilevel"/>
    <w:tmpl w:val="FE48ACEA"/>
    <w:lvl w:ilvl="0">
      <w:start w:val="5"/>
      <w:numFmt w:val="decimal"/>
      <w:lvlText w:val="%1"/>
      <w:lvlJc w:val="left"/>
      <w:pPr>
        <w:ind w:left="283" w:hanging="392"/>
        <w:jc w:val="left"/>
      </w:pPr>
      <w:rPr>
        <w:rFonts w:hint="default"/>
        <w:lang w:val="pt-PT" w:eastAsia="en-US" w:bidi="ar-SA"/>
      </w:rPr>
    </w:lvl>
    <w:lvl w:ilvl="1">
      <w:start w:val="1"/>
      <w:numFmt w:val="decimal"/>
      <w:lvlText w:val="%1.%2."/>
      <w:lvlJc w:val="left"/>
      <w:pPr>
        <w:ind w:left="283" w:hanging="392"/>
        <w:jc w:val="left"/>
      </w:pPr>
      <w:rPr>
        <w:rFonts w:ascii="Arial" w:eastAsia="Arial" w:hAnsi="Arial" w:cs="Arial" w:hint="default"/>
        <w:b/>
        <w:bCs/>
        <w:i w:val="0"/>
        <w:iCs w:val="0"/>
        <w:color w:val="FF0000"/>
        <w:spacing w:val="0"/>
        <w:w w:val="99"/>
        <w:sz w:val="20"/>
        <w:szCs w:val="20"/>
        <w:lang w:val="pt-PT" w:eastAsia="en-US" w:bidi="ar-SA"/>
      </w:rPr>
    </w:lvl>
    <w:lvl w:ilvl="2">
      <w:numFmt w:val="bullet"/>
      <w:lvlText w:val="•"/>
      <w:lvlJc w:val="left"/>
      <w:pPr>
        <w:ind w:left="2112" w:hanging="392"/>
      </w:pPr>
      <w:rPr>
        <w:rFonts w:hint="default"/>
        <w:lang w:val="pt-PT" w:eastAsia="en-US" w:bidi="ar-SA"/>
      </w:rPr>
    </w:lvl>
    <w:lvl w:ilvl="3">
      <w:numFmt w:val="bullet"/>
      <w:lvlText w:val="•"/>
      <w:lvlJc w:val="left"/>
      <w:pPr>
        <w:ind w:left="3028" w:hanging="392"/>
      </w:pPr>
      <w:rPr>
        <w:rFonts w:hint="default"/>
        <w:lang w:val="pt-PT" w:eastAsia="en-US" w:bidi="ar-SA"/>
      </w:rPr>
    </w:lvl>
    <w:lvl w:ilvl="4">
      <w:numFmt w:val="bullet"/>
      <w:lvlText w:val="•"/>
      <w:lvlJc w:val="left"/>
      <w:pPr>
        <w:ind w:left="3944" w:hanging="392"/>
      </w:pPr>
      <w:rPr>
        <w:rFonts w:hint="default"/>
        <w:lang w:val="pt-PT" w:eastAsia="en-US" w:bidi="ar-SA"/>
      </w:rPr>
    </w:lvl>
    <w:lvl w:ilvl="5">
      <w:numFmt w:val="bullet"/>
      <w:lvlText w:val="•"/>
      <w:lvlJc w:val="left"/>
      <w:pPr>
        <w:ind w:left="4860" w:hanging="392"/>
      </w:pPr>
      <w:rPr>
        <w:rFonts w:hint="default"/>
        <w:lang w:val="pt-PT" w:eastAsia="en-US" w:bidi="ar-SA"/>
      </w:rPr>
    </w:lvl>
    <w:lvl w:ilvl="6">
      <w:numFmt w:val="bullet"/>
      <w:lvlText w:val="•"/>
      <w:lvlJc w:val="left"/>
      <w:pPr>
        <w:ind w:left="5776" w:hanging="392"/>
      </w:pPr>
      <w:rPr>
        <w:rFonts w:hint="default"/>
        <w:lang w:val="pt-PT" w:eastAsia="en-US" w:bidi="ar-SA"/>
      </w:rPr>
    </w:lvl>
    <w:lvl w:ilvl="7">
      <w:numFmt w:val="bullet"/>
      <w:lvlText w:val="•"/>
      <w:lvlJc w:val="left"/>
      <w:pPr>
        <w:ind w:left="6692" w:hanging="392"/>
      </w:pPr>
      <w:rPr>
        <w:rFonts w:hint="default"/>
        <w:lang w:val="pt-PT" w:eastAsia="en-US" w:bidi="ar-SA"/>
      </w:rPr>
    </w:lvl>
    <w:lvl w:ilvl="8">
      <w:numFmt w:val="bullet"/>
      <w:lvlText w:val="•"/>
      <w:lvlJc w:val="left"/>
      <w:pPr>
        <w:ind w:left="7608" w:hanging="392"/>
      </w:pPr>
      <w:rPr>
        <w:rFonts w:hint="default"/>
        <w:lang w:val="pt-PT" w:eastAsia="en-US" w:bidi="ar-SA"/>
      </w:rPr>
    </w:lvl>
  </w:abstractNum>
  <w:abstractNum w:abstractNumId="15" w15:restartNumberingAfterBreak="0">
    <w:nsid w:val="5C6E2F1C"/>
    <w:multiLevelType w:val="hybridMultilevel"/>
    <w:tmpl w:val="9D380FC8"/>
    <w:lvl w:ilvl="0" w:tplc="A8D6B59A">
      <w:start w:val="1"/>
      <w:numFmt w:val="lowerLetter"/>
      <w:lvlText w:val="%1)"/>
      <w:lvlJc w:val="left"/>
      <w:pPr>
        <w:ind w:left="1854" w:hanging="360"/>
      </w:pPr>
      <w:rPr>
        <w:color w:val="000000" w:themeColor="text1"/>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6" w15:restartNumberingAfterBreak="0">
    <w:nsid w:val="60F3092A"/>
    <w:multiLevelType w:val="multilevel"/>
    <w:tmpl w:val="2A963854"/>
    <w:lvl w:ilvl="0">
      <w:start w:val="9"/>
      <w:numFmt w:val="decimal"/>
      <w:lvlText w:val="%1"/>
      <w:lvlJc w:val="left"/>
      <w:pPr>
        <w:ind w:left="283" w:hanging="380"/>
        <w:jc w:val="left"/>
      </w:pPr>
      <w:rPr>
        <w:rFonts w:hint="default"/>
        <w:lang w:val="pt-PT" w:eastAsia="en-US" w:bidi="ar-SA"/>
      </w:rPr>
    </w:lvl>
    <w:lvl w:ilvl="1">
      <w:start w:val="1"/>
      <w:numFmt w:val="decimal"/>
      <w:lvlText w:val="%1.%2."/>
      <w:lvlJc w:val="left"/>
      <w:pPr>
        <w:ind w:left="283" w:hanging="380"/>
        <w:jc w:val="left"/>
      </w:pPr>
      <w:rPr>
        <w:rFonts w:ascii="Arial" w:eastAsia="Arial" w:hAnsi="Arial" w:cs="Arial" w:hint="default"/>
        <w:b/>
        <w:bCs/>
        <w:i w:val="0"/>
        <w:iCs w:val="0"/>
        <w:spacing w:val="0"/>
        <w:w w:val="99"/>
        <w:sz w:val="20"/>
        <w:szCs w:val="20"/>
        <w:shd w:val="clear" w:color="auto" w:fill="00FFFF"/>
        <w:lang w:val="pt-PT" w:eastAsia="en-US" w:bidi="ar-SA"/>
      </w:rPr>
    </w:lvl>
    <w:lvl w:ilvl="2">
      <w:numFmt w:val="bullet"/>
      <w:lvlText w:val="•"/>
      <w:lvlJc w:val="left"/>
      <w:pPr>
        <w:ind w:left="2112" w:hanging="380"/>
      </w:pPr>
      <w:rPr>
        <w:rFonts w:hint="default"/>
        <w:lang w:val="pt-PT" w:eastAsia="en-US" w:bidi="ar-SA"/>
      </w:rPr>
    </w:lvl>
    <w:lvl w:ilvl="3">
      <w:numFmt w:val="bullet"/>
      <w:lvlText w:val="•"/>
      <w:lvlJc w:val="left"/>
      <w:pPr>
        <w:ind w:left="3028" w:hanging="380"/>
      </w:pPr>
      <w:rPr>
        <w:rFonts w:hint="default"/>
        <w:lang w:val="pt-PT" w:eastAsia="en-US" w:bidi="ar-SA"/>
      </w:rPr>
    </w:lvl>
    <w:lvl w:ilvl="4">
      <w:numFmt w:val="bullet"/>
      <w:lvlText w:val="•"/>
      <w:lvlJc w:val="left"/>
      <w:pPr>
        <w:ind w:left="3944" w:hanging="380"/>
      </w:pPr>
      <w:rPr>
        <w:rFonts w:hint="default"/>
        <w:lang w:val="pt-PT" w:eastAsia="en-US" w:bidi="ar-SA"/>
      </w:rPr>
    </w:lvl>
    <w:lvl w:ilvl="5">
      <w:numFmt w:val="bullet"/>
      <w:lvlText w:val="•"/>
      <w:lvlJc w:val="left"/>
      <w:pPr>
        <w:ind w:left="4860" w:hanging="380"/>
      </w:pPr>
      <w:rPr>
        <w:rFonts w:hint="default"/>
        <w:lang w:val="pt-PT" w:eastAsia="en-US" w:bidi="ar-SA"/>
      </w:rPr>
    </w:lvl>
    <w:lvl w:ilvl="6">
      <w:numFmt w:val="bullet"/>
      <w:lvlText w:val="•"/>
      <w:lvlJc w:val="left"/>
      <w:pPr>
        <w:ind w:left="5776" w:hanging="380"/>
      </w:pPr>
      <w:rPr>
        <w:rFonts w:hint="default"/>
        <w:lang w:val="pt-PT" w:eastAsia="en-US" w:bidi="ar-SA"/>
      </w:rPr>
    </w:lvl>
    <w:lvl w:ilvl="7">
      <w:numFmt w:val="bullet"/>
      <w:lvlText w:val="•"/>
      <w:lvlJc w:val="left"/>
      <w:pPr>
        <w:ind w:left="6692" w:hanging="380"/>
      </w:pPr>
      <w:rPr>
        <w:rFonts w:hint="default"/>
        <w:lang w:val="pt-PT" w:eastAsia="en-US" w:bidi="ar-SA"/>
      </w:rPr>
    </w:lvl>
    <w:lvl w:ilvl="8">
      <w:numFmt w:val="bullet"/>
      <w:lvlText w:val="•"/>
      <w:lvlJc w:val="left"/>
      <w:pPr>
        <w:ind w:left="7608" w:hanging="380"/>
      </w:pPr>
      <w:rPr>
        <w:rFonts w:hint="default"/>
        <w:lang w:val="pt-PT" w:eastAsia="en-US" w:bidi="ar-SA"/>
      </w:rPr>
    </w:lvl>
  </w:abstractNum>
  <w:abstractNum w:abstractNumId="17" w15:restartNumberingAfterBreak="0">
    <w:nsid w:val="63B55988"/>
    <w:multiLevelType w:val="multilevel"/>
    <w:tmpl w:val="FA2050A2"/>
    <w:lvl w:ilvl="0">
      <w:start w:val="6"/>
      <w:numFmt w:val="decimal"/>
      <w:lvlText w:val="%1"/>
      <w:lvlJc w:val="left"/>
      <w:pPr>
        <w:ind w:left="283" w:hanging="567"/>
        <w:jc w:val="left"/>
      </w:pPr>
      <w:rPr>
        <w:rFonts w:hint="default"/>
        <w:lang w:val="pt-PT" w:eastAsia="en-US" w:bidi="ar-SA"/>
      </w:rPr>
    </w:lvl>
    <w:lvl w:ilvl="1">
      <w:start w:val="3"/>
      <w:numFmt w:val="decimal"/>
      <w:lvlText w:val="%1.%2"/>
      <w:lvlJc w:val="left"/>
      <w:pPr>
        <w:ind w:left="283" w:hanging="567"/>
        <w:jc w:val="left"/>
      </w:pPr>
      <w:rPr>
        <w:rFonts w:hint="default"/>
        <w:lang w:val="pt-PT" w:eastAsia="en-US" w:bidi="ar-SA"/>
      </w:rPr>
    </w:lvl>
    <w:lvl w:ilvl="2">
      <w:start w:val="1"/>
      <w:numFmt w:val="decimal"/>
      <w:lvlText w:val="%1.%2.%3."/>
      <w:lvlJc w:val="left"/>
      <w:pPr>
        <w:ind w:left="283" w:hanging="567"/>
        <w:jc w:val="left"/>
      </w:pPr>
      <w:rPr>
        <w:rFonts w:ascii="Arial" w:eastAsia="Arial" w:hAnsi="Arial" w:cs="Arial" w:hint="default"/>
        <w:b/>
        <w:bCs/>
        <w:i w:val="0"/>
        <w:iCs w:val="0"/>
        <w:color w:val="FF0000"/>
        <w:spacing w:val="0"/>
        <w:w w:val="99"/>
        <w:sz w:val="20"/>
        <w:szCs w:val="20"/>
        <w:lang w:val="pt-PT" w:eastAsia="en-US" w:bidi="ar-SA"/>
      </w:rPr>
    </w:lvl>
    <w:lvl w:ilvl="3">
      <w:start w:val="1"/>
      <w:numFmt w:val="decimal"/>
      <w:lvlText w:val="%1.%2.%3.%4."/>
      <w:lvlJc w:val="left"/>
      <w:pPr>
        <w:ind w:left="1003" w:hanging="720"/>
        <w:jc w:val="left"/>
      </w:pPr>
      <w:rPr>
        <w:rFonts w:ascii="Arial" w:eastAsia="Arial" w:hAnsi="Arial" w:cs="Arial" w:hint="default"/>
        <w:b/>
        <w:bCs/>
        <w:i w:val="0"/>
        <w:iCs w:val="0"/>
        <w:color w:val="FF0000"/>
        <w:spacing w:val="-1"/>
        <w:w w:val="99"/>
        <w:sz w:val="20"/>
        <w:szCs w:val="20"/>
        <w:lang w:val="pt-PT" w:eastAsia="en-US" w:bidi="ar-SA"/>
      </w:rPr>
    </w:lvl>
    <w:lvl w:ilvl="4">
      <w:numFmt w:val="bullet"/>
      <w:lvlText w:val="•"/>
      <w:lvlJc w:val="left"/>
      <w:pPr>
        <w:ind w:left="3813" w:hanging="720"/>
      </w:pPr>
      <w:rPr>
        <w:rFonts w:hint="default"/>
        <w:lang w:val="pt-PT" w:eastAsia="en-US" w:bidi="ar-SA"/>
      </w:rPr>
    </w:lvl>
    <w:lvl w:ilvl="5">
      <w:numFmt w:val="bullet"/>
      <w:lvlText w:val="•"/>
      <w:lvlJc w:val="left"/>
      <w:pPr>
        <w:ind w:left="4751" w:hanging="720"/>
      </w:pPr>
      <w:rPr>
        <w:rFonts w:hint="default"/>
        <w:lang w:val="pt-PT" w:eastAsia="en-US" w:bidi="ar-SA"/>
      </w:rPr>
    </w:lvl>
    <w:lvl w:ilvl="6">
      <w:numFmt w:val="bullet"/>
      <w:lvlText w:val="•"/>
      <w:lvlJc w:val="left"/>
      <w:pPr>
        <w:ind w:left="5688" w:hanging="720"/>
      </w:pPr>
      <w:rPr>
        <w:rFonts w:hint="default"/>
        <w:lang w:val="pt-PT" w:eastAsia="en-US" w:bidi="ar-SA"/>
      </w:rPr>
    </w:lvl>
    <w:lvl w:ilvl="7">
      <w:numFmt w:val="bullet"/>
      <w:lvlText w:val="•"/>
      <w:lvlJc w:val="left"/>
      <w:pPr>
        <w:ind w:left="6626" w:hanging="720"/>
      </w:pPr>
      <w:rPr>
        <w:rFonts w:hint="default"/>
        <w:lang w:val="pt-PT" w:eastAsia="en-US" w:bidi="ar-SA"/>
      </w:rPr>
    </w:lvl>
    <w:lvl w:ilvl="8">
      <w:numFmt w:val="bullet"/>
      <w:lvlText w:val="•"/>
      <w:lvlJc w:val="left"/>
      <w:pPr>
        <w:ind w:left="7564" w:hanging="720"/>
      </w:pPr>
      <w:rPr>
        <w:rFonts w:hint="default"/>
        <w:lang w:val="pt-PT" w:eastAsia="en-US" w:bidi="ar-SA"/>
      </w:rPr>
    </w:lvl>
  </w:abstractNum>
  <w:abstractNum w:abstractNumId="18" w15:restartNumberingAfterBreak="0">
    <w:nsid w:val="68833C61"/>
    <w:multiLevelType w:val="multilevel"/>
    <w:tmpl w:val="EB90B2E8"/>
    <w:lvl w:ilvl="0">
      <w:start w:val="10"/>
      <w:numFmt w:val="decimal"/>
      <w:lvlText w:val="%1"/>
      <w:lvlJc w:val="left"/>
      <w:pPr>
        <w:ind w:left="947" w:hanging="665"/>
        <w:jc w:val="left"/>
      </w:pPr>
      <w:rPr>
        <w:rFonts w:hint="default"/>
        <w:lang w:val="pt-PT" w:eastAsia="en-US" w:bidi="ar-SA"/>
      </w:rPr>
    </w:lvl>
    <w:lvl w:ilvl="1">
      <w:start w:val="4"/>
      <w:numFmt w:val="decimal"/>
      <w:lvlText w:val="%1.%2"/>
      <w:lvlJc w:val="left"/>
      <w:pPr>
        <w:ind w:left="947" w:hanging="665"/>
        <w:jc w:val="left"/>
      </w:pPr>
      <w:rPr>
        <w:rFonts w:hint="default"/>
        <w:lang w:val="pt-PT" w:eastAsia="en-US" w:bidi="ar-SA"/>
      </w:rPr>
    </w:lvl>
    <w:lvl w:ilvl="2">
      <w:start w:val="1"/>
      <w:numFmt w:val="decimal"/>
      <w:lvlText w:val="%1.%2.%3."/>
      <w:lvlJc w:val="left"/>
      <w:pPr>
        <w:ind w:left="947" w:hanging="665"/>
        <w:jc w:val="left"/>
      </w:pPr>
      <w:rPr>
        <w:rFonts w:ascii="Arial" w:eastAsia="Arial" w:hAnsi="Arial" w:cs="Arial" w:hint="default"/>
        <w:b/>
        <w:bCs/>
        <w:i w:val="0"/>
        <w:iCs w:val="0"/>
        <w:color w:val="FF0000"/>
        <w:spacing w:val="0"/>
        <w:w w:val="99"/>
        <w:sz w:val="20"/>
        <w:szCs w:val="20"/>
        <w:lang w:val="pt-PT" w:eastAsia="en-US" w:bidi="ar-SA"/>
      </w:rPr>
    </w:lvl>
    <w:lvl w:ilvl="3">
      <w:numFmt w:val="bullet"/>
      <w:lvlText w:val="•"/>
      <w:lvlJc w:val="left"/>
      <w:pPr>
        <w:ind w:left="3490" w:hanging="665"/>
      </w:pPr>
      <w:rPr>
        <w:rFonts w:hint="default"/>
        <w:lang w:val="pt-PT" w:eastAsia="en-US" w:bidi="ar-SA"/>
      </w:rPr>
    </w:lvl>
    <w:lvl w:ilvl="4">
      <w:numFmt w:val="bullet"/>
      <w:lvlText w:val="•"/>
      <w:lvlJc w:val="left"/>
      <w:pPr>
        <w:ind w:left="4340" w:hanging="665"/>
      </w:pPr>
      <w:rPr>
        <w:rFonts w:hint="default"/>
        <w:lang w:val="pt-PT" w:eastAsia="en-US" w:bidi="ar-SA"/>
      </w:rPr>
    </w:lvl>
    <w:lvl w:ilvl="5">
      <w:numFmt w:val="bullet"/>
      <w:lvlText w:val="•"/>
      <w:lvlJc w:val="left"/>
      <w:pPr>
        <w:ind w:left="5190" w:hanging="665"/>
      </w:pPr>
      <w:rPr>
        <w:rFonts w:hint="default"/>
        <w:lang w:val="pt-PT" w:eastAsia="en-US" w:bidi="ar-SA"/>
      </w:rPr>
    </w:lvl>
    <w:lvl w:ilvl="6">
      <w:numFmt w:val="bullet"/>
      <w:lvlText w:val="•"/>
      <w:lvlJc w:val="left"/>
      <w:pPr>
        <w:ind w:left="6040" w:hanging="665"/>
      </w:pPr>
      <w:rPr>
        <w:rFonts w:hint="default"/>
        <w:lang w:val="pt-PT" w:eastAsia="en-US" w:bidi="ar-SA"/>
      </w:rPr>
    </w:lvl>
    <w:lvl w:ilvl="7">
      <w:numFmt w:val="bullet"/>
      <w:lvlText w:val="•"/>
      <w:lvlJc w:val="left"/>
      <w:pPr>
        <w:ind w:left="6890" w:hanging="665"/>
      </w:pPr>
      <w:rPr>
        <w:rFonts w:hint="default"/>
        <w:lang w:val="pt-PT" w:eastAsia="en-US" w:bidi="ar-SA"/>
      </w:rPr>
    </w:lvl>
    <w:lvl w:ilvl="8">
      <w:numFmt w:val="bullet"/>
      <w:lvlText w:val="•"/>
      <w:lvlJc w:val="left"/>
      <w:pPr>
        <w:ind w:left="7740" w:hanging="665"/>
      </w:pPr>
      <w:rPr>
        <w:rFonts w:hint="default"/>
        <w:lang w:val="pt-PT" w:eastAsia="en-US" w:bidi="ar-SA"/>
      </w:rPr>
    </w:lvl>
  </w:abstractNum>
  <w:abstractNum w:abstractNumId="19" w15:restartNumberingAfterBreak="0">
    <w:nsid w:val="743A212B"/>
    <w:multiLevelType w:val="multilevel"/>
    <w:tmpl w:val="BE7882BE"/>
    <w:lvl w:ilvl="0">
      <w:start w:val="5"/>
      <w:numFmt w:val="decimal"/>
      <w:lvlText w:val="%1"/>
      <w:lvlJc w:val="left"/>
      <w:pPr>
        <w:ind w:left="679" w:hanging="396"/>
        <w:jc w:val="left"/>
      </w:pPr>
      <w:rPr>
        <w:rFonts w:hint="default"/>
        <w:lang w:val="pt-PT" w:eastAsia="en-US" w:bidi="ar-SA"/>
      </w:rPr>
    </w:lvl>
    <w:lvl w:ilvl="1">
      <w:start w:val="1"/>
      <w:numFmt w:val="decimal"/>
      <w:lvlText w:val="%1.%2."/>
      <w:lvlJc w:val="left"/>
      <w:pPr>
        <w:ind w:left="679" w:hanging="396"/>
        <w:jc w:val="left"/>
      </w:pPr>
      <w:rPr>
        <w:rFonts w:ascii="Arial" w:eastAsia="Arial" w:hAnsi="Arial" w:cs="Arial" w:hint="default"/>
        <w:b/>
        <w:bCs/>
        <w:i w:val="0"/>
        <w:iCs w:val="0"/>
        <w:color w:val="FF0000"/>
        <w:spacing w:val="0"/>
        <w:w w:val="99"/>
        <w:sz w:val="20"/>
        <w:szCs w:val="20"/>
        <w:lang w:val="pt-PT" w:eastAsia="en-US" w:bidi="ar-SA"/>
      </w:rPr>
    </w:lvl>
    <w:lvl w:ilvl="2">
      <w:numFmt w:val="bullet"/>
      <w:lvlText w:val="•"/>
      <w:lvlJc w:val="left"/>
      <w:pPr>
        <w:ind w:left="2432" w:hanging="396"/>
      </w:pPr>
      <w:rPr>
        <w:rFonts w:hint="default"/>
        <w:lang w:val="pt-PT" w:eastAsia="en-US" w:bidi="ar-SA"/>
      </w:rPr>
    </w:lvl>
    <w:lvl w:ilvl="3">
      <w:numFmt w:val="bullet"/>
      <w:lvlText w:val="•"/>
      <w:lvlJc w:val="left"/>
      <w:pPr>
        <w:ind w:left="3308" w:hanging="396"/>
      </w:pPr>
      <w:rPr>
        <w:rFonts w:hint="default"/>
        <w:lang w:val="pt-PT" w:eastAsia="en-US" w:bidi="ar-SA"/>
      </w:rPr>
    </w:lvl>
    <w:lvl w:ilvl="4">
      <w:numFmt w:val="bullet"/>
      <w:lvlText w:val="•"/>
      <w:lvlJc w:val="left"/>
      <w:pPr>
        <w:ind w:left="4184" w:hanging="396"/>
      </w:pPr>
      <w:rPr>
        <w:rFonts w:hint="default"/>
        <w:lang w:val="pt-PT" w:eastAsia="en-US" w:bidi="ar-SA"/>
      </w:rPr>
    </w:lvl>
    <w:lvl w:ilvl="5">
      <w:numFmt w:val="bullet"/>
      <w:lvlText w:val="•"/>
      <w:lvlJc w:val="left"/>
      <w:pPr>
        <w:ind w:left="5060" w:hanging="396"/>
      </w:pPr>
      <w:rPr>
        <w:rFonts w:hint="default"/>
        <w:lang w:val="pt-PT" w:eastAsia="en-US" w:bidi="ar-SA"/>
      </w:rPr>
    </w:lvl>
    <w:lvl w:ilvl="6">
      <w:numFmt w:val="bullet"/>
      <w:lvlText w:val="•"/>
      <w:lvlJc w:val="left"/>
      <w:pPr>
        <w:ind w:left="5936" w:hanging="396"/>
      </w:pPr>
      <w:rPr>
        <w:rFonts w:hint="default"/>
        <w:lang w:val="pt-PT" w:eastAsia="en-US" w:bidi="ar-SA"/>
      </w:rPr>
    </w:lvl>
    <w:lvl w:ilvl="7">
      <w:numFmt w:val="bullet"/>
      <w:lvlText w:val="•"/>
      <w:lvlJc w:val="left"/>
      <w:pPr>
        <w:ind w:left="6812" w:hanging="396"/>
      </w:pPr>
      <w:rPr>
        <w:rFonts w:hint="default"/>
        <w:lang w:val="pt-PT" w:eastAsia="en-US" w:bidi="ar-SA"/>
      </w:rPr>
    </w:lvl>
    <w:lvl w:ilvl="8">
      <w:numFmt w:val="bullet"/>
      <w:lvlText w:val="•"/>
      <w:lvlJc w:val="left"/>
      <w:pPr>
        <w:ind w:left="7688" w:hanging="396"/>
      </w:pPr>
      <w:rPr>
        <w:rFonts w:hint="default"/>
        <w:lang w:val="pt-PT" w:eastAsia="en-US" w:bidi="ar-SA"/>
      </w:rPr>
    </w:lvl>
  </w:abstractNum>
  <w:num w:numId="1">
    <w:abstractNumId w:val="11"/>
  </w:num>
  <w:num w:numId="2">
    <w:abstractNumId w:val="18"/>
  </w:num>
  <w:num w:numId="3">
    <w:abstractNumId w:val="4"/>
  </w:num>
  <w:num w:numId="4">
    <w:abstractNumId w:val="0"/>
  </w:num>
  <w:num w:numId="5">
    <w:abstractNumId w:val="1"/>
  </w:num>
  <w:num w:numId="6">
    <w:abstractNumId w:val="13"/>
  </w:num>
  <w:num w:numId="7">
    <w:abstractNumId w:val="16"/>
  </w:num>
  <w:num w:numId="8">
    <w:abstractNumId w:val="8"/>
  </w:num>
  <w:num w:numId="9">
    <w:abstractNumId w:val="17"/>
  </w:num>
  <w:num w:numId="10">
    <w:abstractNumId w:val="19"/>
  </w:num>
  <w:num w:numId="11">
    <w:abstractNumId w:val="14"/>
  </w:num>
  <w:num w:numId="12">
    <w:abstractNumId w:val="3"/>
  </w:num>
  <w:num w:numId="13">
    <w:abstractNumId w:val="10"/>
  </w:num>
  <w:num w:numId="14">
    <w:abstractNumId w:val="5"/>
  </w:num>
  <w:num w:numId="15">
    <w:abstractNumId w:val="7"/>
  </w:num>
  <w:num w:numId="16">
    <w:abstractNumId w:val="9"/>
  </w:num>
  <w:num w:numId="17">
    <w:abstractNumId w:val="12"/>
  </w:num>
  <w:num w:numId="18">
    <w:abstractNumId w:val="2"/>
  </w:num>
  <w:num w:numId="19">
    <w:abstractNumId w:val="6"/>
  </w:num>
  <w:num w:numId="20">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F44"/>
    <w:rsid w:val="00071C4E"/>
    <w:rsid w:val="004265A3"/>
    <w:rsid w:val="00564F44"/>
    <w:rsid w:val="006F719E"/>
    <w:rsid w:val="00B97CD5"/>
    <w:rsid w:val="00CA7D8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1BAD208"/>
  <w15:chartTrackingRefBased/>
  <w15:docId w15:val="{D465DDE8-5FE2-4D64-AB01-01379CB38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D8E"/>
  </w:style>
  <w:style w:type="paragraph" w:styleId="Ttulo1">
    <w:name w:val="heading 1"/>
    <w:basedOn w:val="Normal"/>
    <w:link w:val="Ttulo1Char"/>
    <w:uiPriority w:val="1"/>
    <w:qFormat/>
    <w:rsid w:val="004265A3"/>
    <w:pPr>
      <w:widowControl w:val="0"/>
      <w:autoSpaceDE w:val="0"/>
      <w:autoSpaceDN w:val="0"/>
      <w:spacing w:before="1" w:after="0" w:line="240" w:lineRule="auto"/>
      <w:ind w:left="283"/>
      <w:outlineLvl w:val="0"/>
    </w:pPr>
    <w:rPr>
      <w:rFonts w:ascii="Arial" w:eastAsia="Arial" w:hAnsi="Arial" w:cs="Arial"/>
      <w:b/>
      <w:bCs/>
      <w:lang w:val="pt-PT"/>
    </w:rPr>
  </w:style>
  <w:style w:type="paragraph" w:styleId="Ttulo2">
    <w:name w:val="heading 2"/>
    <w:basedOn w:val="Normal"/>
    <w:link w:val="Ttulo2Char"/>
    <w:uiPriority w:val="1"/>
    <w:qFormat/>
    <w:rsid w:val="004265A3"/>
    <w:pPr>
      <w:widowControl w:val="0"/>
      <w:autoSpaceDE w:val="0"/>
      <w:autoSpaceDN w:val="0"/>
      <w:spacing w:before="6" w:after="0" w:line="240" w:lineRule="auto"/>
      <w:ind w:left="20"/>
      <w:outlineLvl w:val="1"/>
    </w:pPr>
    <w:rPr>
      <w:rFonts w:ascii="Arial MT" w:eastAsia="Arial MT" w:hAnsi="Arial MT" w:cs="Arial MT"/>
      <w:lang w:val="pt-PT"/>
    </w:rPr>
  </w:style>
  <w:style w:type="paragraph" w:styleId="Ttulo3">
    <w:name w:val="heading 3"/>
    <w:basedOn w:val="Normal"/>
    <w:link w:val="Ttulo3Char"/>
    <w:uiPriority w:val="1"/>
    <w:qFormat/>
    <w:rsid w:val="004265A3"/>
    <w:pPr>
      <w:widowControl w:val="0"/>
      <w:autoSpaceDE w:val="0"/>
      <w:autoSpaceDN w:val="0"/>
      <w:spacing w:after="0" w:line="240" w:lineRule="auto"/>
      <w:ind w:left="283"/>
      <w:outlineLvl w:val="2"/>
    </w:pPr>
    <w:rPr>
      <w:rFonts w:ascii="Arial" w:eastAsia="Arial" w:hAnsi="Arial" w:cs="Arial"/>
      <w:b/>
      <w:bCs/>
      <w:sz w:val="20"/>
      <w:szCs w:val="20"/>
      <w:lang w:val="pt-PT"/>
    </w:rPr>
  </w:style>
  <w:style w:type="paragraph" w:styleId="Ttulo4">
    <w:name w:val="heading 4"/>
    <w:basedOn w:val="Normal"/>
    <w:link w:val="Ttulo4Char"/>
    <w:uiPriority w:val="1"/>
    <w:qFormat/>
    <w:rsid w:val="004265A3"/>
    <w:pPr>
      <w:widowControl w:val="0"/>
      <w:autoSpaceDE w:val="0"/>
      <w:autoSpaceDN w:val="0"/>
      <w:spacing w:before="16" w:after="0" w:line="240" w:lineRule="auto"/>
      <w:ind w:left="107"/>
      <w:jc w:val="both"/>
      <w:outlineLvl w:val="3"/>
    </w:pPr>
    <w:rPr>
      <w:rFonts w:ascii="Arial" w:eastAsia="Arial" w:hAnsi="Arial" w:cs="Arial"/>
      <w:b/>
      <w:bCs/>
      <w:sz w:val="20"/>
      <w:szCs w:val="20"/>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4265A3"/>
    <w:rPr>
      <w:rFonts w:ascii="Arial" w:eastAsia="Arial" w:hAnsi="Arial" w:cs="Arial"/>
      <w:b/>
      <w:bCs/>
      <w:lang w:val="pt-PT"/>
    </w:rPr>
  </w:style>
  <w:style w:type="character" w:customStyle="1" w:styleId="Ttulo2Char">
    <w:name w:val="Título 2 Char"/>
    <w:basedOn w:val="Fontepargpadro"/>
    <w:link w:val="Ttulo2"/>
    <w:uiPriority w:val="1"/>
    <w:rsid w:val="004265A3"/>
    <w:rPr>
      <w:rFonts w:ascii="Arial MT" w:eastAsia="Arial MT" w:hAnsi="Arial MT" w:cs="Arial MT"/>
      <w:lang w:val="pt-PT"/>
    </w:rPr>
  </w:style>
  <w:style w:type="character" w:customStyle="1" w:styleId="Ttulo3Char">
    <w:name w:val="Título 3 Char"/>
    <w:basedOn w:val="Fontepargpadro"/>
    <w:link w:val="Ttulo3"/>
    <w:uiPriority w:val="1"/>
    <w:rsid w:val="004265A3"/>
    <w:rPr>
      <w:rFonts w:ascii="Arial" w:eastAsia="Arial" w:hAnsi="Arial" w:cs="Arial"/>
      <w:b/>
      <w:bCs/>
      <w:sz w:val="20"/>
      <w:szCs w:val="20"/>
      <w:lang w:val="pt-PT"/>
    </w:rPr>
  </w:style>
  <w:style w:type="character" w:customStyle="1" w:styleId="Ttulo4Char">
    <w:name w:val="Título 4 Char"/>
    <w:basedOn w:val="Fontepargpadro"/>
    <w:link w:val="Ttulo4"/>
    <w:uiPriority w:val="1"/>
    <w:rsid w:val="004265A3"/>
    <w:rPr>
      <w:rFonts w:ascii="Arial" w:eastAsia="Arial" w:hAnsi="Arial" w:cs="Arial"/>
      <w:b/>
      <w:bCs/>
      <w:sz w:val="20"/>
      <w:szCs w:val="20"/>
      <w:lang w:val="pt-PT"/>
    </w:rPr>
  </w:style>
  <w:style w:type="numbering" w:customStyle="1" w:styleId="Semlista1">
    <w:name w:val="Sem lista1"/>
    <w:next w:val="Semlista"/>
    <w:uiPriority w:val="99"/>
    <w:semiHidden/>
    <w:unhideWhenUsed/>
    <w:rsid w:val="004265A3"/>
  </w:style>
  <w:style w:type="table" w:customStyle="1" w:styleId="TableNormal">
    <w:name w:val="Table Normal"/>
    <w:uiPriority w:val="2"/>
    <w:semiHidden/>
    <w:unhideWhenUsed/>
    <w:qFormat/>
    <w:rsid w:val="004265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4265A3"/>
    <w:pPr>
      <w:widowControl w:val="0"/>
      <w:autoSpaceDE w:val="0"/>
      <w:autoSpaceDN w:val="0"/>
      <w:spacing w:after="0" w:line="240" w:lineRule="auto"/>
    </w:pPr>
    <w:rPr>
      <w:rFonts w:ascii="Arial MT" w:eastAsia="Arial MT" w:hAnsi="Arial MT" w:cs="Arial MT"/>
      <w:sz w:val="20"/>
      <w:szCs w:val="20"/>
      <w:lang w:val="pt-PT"/>
    </w:rPr>
  </w:style>
  <w:style w:type="character" w:customStyle="1" w:styleId="CorpodetextoChar">
    <w:name w:val="Corpo de texto Char"/>
    <w:basedOn w:val="Fontepargpadro"/>
    <w:link w:val="Corpodetexto"/>
    <w:uiPriority w:val="1"/>
    <w:rsid w:val="004265A3"/>
    <w:rPr>
      <w:rFonts w:ascii="Arial MT" w:eastAsia="Arial MT" w:hAnsi="Arial MT" w:cs="Arial MT"/>
      <w:sz w:val="20"/>
      <w:szCs w:val="20"/>
      <w:lang w:val="pt-PT"/>
    </w:rPr>
  </w:style>
  <w:style w:type="paragraph" w:styleId="PargrafodaLista">
    <w:name w:val="List Paragraph"/>
    <w:basedOn w:val="Normal"/>
    <w:uiPriority w:val="1"/>
    <w:qFormat/>
    <w:rsid w:val="004265A3"/>
    <w:pPr>
      <w:widowControl w:val="0"/>
      <w:autoSpaceDE w:val="0"/>
      <w:autoSpaceDN w:val="0"/>
      <w:spacing w:after="0" w:line="240" w:lineRule="auto"/>
      <w:ind w:left="283"/>
      <w:jc w:val="both"/>
    </w:pPr>
    <w:rPr>
      <w:rFonts w:ascii="Arial MT" w:eastAsia="Arial MT" w:hAnsi="Arial MT" w:cs="Arial MT"/>
      <w:lang w:val="pt-PT"/>
    </w:rPr>
  </w:style>
  <w:style w:type="paragraph" w:customStyle="1" w:styleId="TableParagraph">
    <w:name w:val="Table Paragraph"/>
    <w:basedOn w:val="Normal"/>
    <w:uiPriority w:val="1"/>
    <w:qFormat/>
    <w:rsid w:val="004265A3"/>
    <w:pPr>
      <w:widowControl w:val="0"/>
      <w:autoSpaceDE w:val="0"/>
      <w:autoSpaceDN w:val="0"/>
      <w:spacing w:after="0" w:line="240" w:lineRule="auto"/>
      <w:ind w:left="107"/>
    </w:pPr>
    <w:rPr>
      <w:rFonts w:ascii="Arial MT" w:eastAsia="Arial MT" w:hAnsi="Arial MT" w:cs="Arial MT"/>
      <w:lang w:val="pt-PT"/>
    </w:rPr>
  </w:style>
  <w:style w:type="paragraph" w:styleId="Cabealho">
    <w:name w:val="header"/>
    <w:aliases w:val="Cabeçalho superior,Heading 1a,h,he,HeaderNN,Cabeçalho1"/>
    <w:basedOn w:val="Normal"/>
    <w:link w:val="CabealhoChar"/>
    <w:uiPriority w:val="99"/>
    <w:unhideWhenUsed/>
    <w:rsid w:val="004265A3"/>
    <w:pPr>
      <w:widowControl w:val="0"/>
      <w:tabs>
        <w:tab w:val="center" w:pos="4252"/>
        <w:tab w:val="right" w:pos="8504"/>
      </w:tabs>
      <w:autoSpaceDE w:val="0"/>
      <w:autoSpaceDN w:val="0"/>
      <w:spacing w:after="0" w:line="240" w:lineRule="auto"/>
    </w:pPr>
    <w:rPr>
      <w:rFonts w:ascii="Arial MT" w:eastAsia="Arial MT" w:hAnsi="Arial MT" w:cs="Arial MT"/>
      <w:lang w:val="pt-PT"/>
    </w:rPr>
  </w:style>
  <w:style w:type="character" w:customStyle="1" w:styleId="CabealhoChar">
    <w:name w:val="Cabeçalho Char"/>
    <w:aliases w:val="Cabeçalho superior Char,Heading 1a Char,h Char,he Char,HeaderNN Char,Cabeçalho1 Char"/>
    <w:basedOn w:val="Fontepargpadro"/>
    <w:link w:val="Cabealho"/>
    <w:uiPriority w:val="99"/>
    <w:rsid w:val="004265A3"/>
    <w:rPr>
      <w:rFonts w:ascii="Arial MT" w:eastAsia="Arial MT" w:hAnsi="Arial MT" w:cs="Arial MT"/>
      <w:lang w:val="pt-PT"/>
    </w:rPr>
  </w:style>
  <w:style w:type="paragraph" w:styleId="Rodap">
    <w:name w:val="footer"/>
    <w:basedOn w:val="Normal"/>
    <w:link w:val="RodapChar"/>
    <w:unhideWhenUsed/>
    <w:rsid w:val="004265A3"/>
    <w:pPr>
      <w:widowControl w:val="0"/>
      <w:tabs>
        <w:tab w:val="center" w:pos="4252"/>
        <w:tab w:val="right" w:pos="8504"/>
      </w:tabs>
      <w:autoSpaceDE w:val="0"/>
      <w:autoSpaceDN w:val="0"/>
      <w:spacing w:after="0" w:line="240" w:lineRule="auto"/>
    </w:pPr>
    <w:rPr>
      <w:rFonts w:ascii="Arial MT" w:eastAsia="Arial MT" w:hAnsi="Arial MT" w:cs="Arial MT"/>
      <w:lang w:val="pt-PT"/>
    </w:rPr>
  </w:style>
  <w:style w:type="character" w:customStyle="1" w:styleId="RodapChar">
    <w:name w:val="Rodapé Char"/>
    <w:basedOn w:val="Fontepargpadro"/>
    <w:link w:val="Rodap"/>
    <w:rsid w:val="004265A3"/>
    <w:rPr>
      <w:rFonts w:ascii="Arial MT" w:eastAsia="Arial MT" w:hAnsi="Arial MT" w:cs="Arial MT"/>
      <w:lang w:val="pt-PT"/>
    </w:rPr>
  </w:style>
  <w:style w:type="character" w:styleId="Hyperlink">
    <w:name w:val="Hyperlink"/>
    <w:basedOn w:val="Fontepargpadro"/>
    <w:uiPriority w:val="99"/>
    <w:unhideWhenUsed/>
    <w:rsid w:val="00CA7D8E"/>
    <w:rPr>
      <w:color w:val="0000FF"/>
      <w:u w:val="single"/>
    </w:rPr>
  </w:style>
  <w:style w:type="paragraph" w:customStyle="1" w:styleId="Corpodetexto31">
    <w:name w:val="Corpo de texto 31"/>
    <w:basedOn w:val="Normal"/>
    <w:qFormat/>
    <w:rsid w:val="00CA7D8E"/>
    <w:pPr>
      <w:suppressAutoHyphens/>
      <w:spacing w:after="0" w:line="240" w:lineRule="auto"/>
      <w:jc w:val="both"/>
    </w:pPr>
    <w:rPr>
      <w:rFonts w:ascii="Times New Roman" w:eastAsia="Times New Roman" w:hAnsi="Times New Roman" w:cs="Times New Roman"/>
      <w:sz w:val="25"/>
      <w:szCs w:val="20"/>
      <w:lang w:eastAsia="ar-SA"/>
    </w:rPr>
  </w:style>
  <w:style w:type="paragraph" w:styleId="Textodenotaderodap">
    <w:name w:val="footnote text"/>
    <w:aliases w:val=" Char,Char,Char4,fn,ALTS FOOTNOTE,Texto de rodapé,Nota de rodapé"/>
    <w:basedOn w:val="Normal"/>
    <w:link w:val="TextodenotaderodapChar"/>
    <w:qFormat/>
    <w:rsid w:val="006F719E"/>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aliases w:val=" Char Char,Char Char,Char4 Char,fn Char,ALTS FOOTNOTE Char,Texto de rodapé Char,Nota de rodapé Char"/>
    <w:basedOn w:val="Fontepargpadro"/>
    <w:link w:val="Textodenotaderodap"/>
    <w:qFormat/>
    <w:rsid w:val="006F719E"/>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ge.ms.gov.br/minutas-padrao-pge-m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nvisa.gov.b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ge.ms.gov.b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pge.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8618</Words>
  <Characters>46541</Characters>
  <Application>Microsoft Office Word</Application>
  <DocSecurity>0</DocSecurity>
  <Lines>387</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da Silva Alves</dc:creator>
  <cp:keywords/>
  <dc:description/>
  <cp:lastModifiedBy>Vanessa da Silva Alves</cp:lastModifiedBy>
  <cp:revision>6</cp:revision>
  <dcterms:created xsi:type="dcterms:W3CDTF">2024-03-01T12:12:00Z</dcterms:created>
  <dcterms:modified xsi:type="dcterms:W3CDTF">2024-06-14T19:04:00Z</dcterms:modified>
</cp:coreProperties>
</file>