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EBB" w:rsidRDefault="000A2EBB" w:rsidP="000A2EBB">
      <w:pPr>
        <w:spacing w:before="90"/>
        <w:ind w:left="1141" w:right="70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MODELO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CHECK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LIST</w:t>
      </w:r>
      <w:r>
        <w:rPr>
          <w:b/>
          <w:i/>
          <w:spacing w:val="-3"/>
          <w:sz w:val="24"/>
        </w:rPr>
        <w:t xml:space="preserve"> </w:t>
      </w:r>
      <w:r>
        <w:rPr>
          <w:b/>
          <w:sz w:val="24"/>
        </w:rPr>
        <w:t>ANUAL**</w:t>
      </w:r>
    </w:p>
    <w:p w:rsidR="000A2EBB" w:rsidRDefault="000A2EBB" w:rsidP="000A2EBB">
      <w:pPr>
        <w:pStyle w:val="Corpodetexto"/>
        <w:rPr>
          <w:b/>
          <w:sz w:val="22"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159"/>
        <w:gridCol w:w="872"/>
        <w:gridCol w:w="898"/>
      </w:tblGrid>
      <w:tr w:rsidR="000A2EBB" w:rsidTr="0024539D">
        <w:trPr>
          <w:trHeight w:val="760"/>
        </w:trPr>
        <w:tc>
          <w:tcPr>
            <w:tcW w:w="8498" w:type="dxa"/>
            <w:gridSpan w:val="4"/>
          </w:tcPr>
          <w:p w:rsidR="000A2EBB" w:rsidRDefault="000A2EBB" w:rsidP="0024539D">
            <w:pPr>
              <w:pStyle w:val="TableParagraph"/>
              <w:spacing w:line="252" w:lineRule="exact"/>
              <w:ind w:left="107" w:right="96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 xml:space="preserve">Check list anual </w:t>
            </w:r>
            <w:r>
              <w:rPr>
                <w:rFonts w:ascii="Times New Roman" w:hAnsi="Times New Roman"/>
                <w:b/>
              </w:rPr>
              <w:t>para os procedimentos necessários para a realização de cedências de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servidores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públicos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para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Municípios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do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Estado,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com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ônus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para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origem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mediante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reembolso.</w:t>
            </w:r>
          </w:p>
        </w:tc>
      </w:tr>
      <w:tr w:rsidR="000A2EBB" w:rsidTr="0024539D">
        <w:trPr>
          <w:trHeight w:val="251"/>
        </w:trPr>
        <w:tc>
          <w:tcPr>
            <w:tcW w:w="8498" w:type="dxa"/>
            <w:gridSpan w:val="4"/>
          </w:tcPr>
          <w:p w:rsidR="000A2EBB" w:rsidRDefault="000A2EBB" w:rsidP="0024539D">
            <w:pPr>
              <w:pStyle w:val="TableParagraph"/>
              <w:spacing w:line="232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Processo:</w:t>
            </w:r>
          </w:p>
        </w:tc>
      </w:tr>
      <w:tr w:rsidR="000A2EBB" w:rsidTr="0024539D">
        <w:trPr>
          <w:trHeight w:val="253"/>
        </w:trPr>
        <w:tc>
          <w:tcPr>
            <w:tcW w:w="8498" w:type="dxa"/>
            <w:gridSpan w:val="4"/>
          </w:tcPr>
          <w:p w:rsidR="000A2EBB" w:rsidRDefault="000A2EBB" w:rsidP="0024539D">
            <w:pPr>
              <w:pStyle w:val="TableParagraph"/>
              <w:spacing w:before="1" w:line="233" w:lineRule="exact"/>
              <w:ind w:left="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Órgão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Responsável:</w:t>
            </w:r>
          </w:p>
        </w:tc>
      </w:tr>
      <w:tr w:rsidR="000A2EBB" w:rsidTr="0024539D">
        <w:trPr>
          <w:trHeight w:val="285"/>
        </w:trPr>
        <w:tc>
          <w:tcPr>
            <w:tcW w:w="6728" w:type="dxa"/>
            <w:gridSpan w:val="2"/>
            <w:vMerge w:val="restart"/>
          </w:tcPr>
          <w:p w:rsidR="000A2EBB" w:rsidRDefault="000A2EBB" w:rsidP="0024539D">
            <w:pPr>
              <w:pStyle w:val="TableParagraph"/>
              <w:spacing w:before="4" w:line="240" w:lineRule="auto"/>
              <w:rPr>
                <w:rFonts w:ascii="Times New Roman"/>
                <w:b/>
                <w:sz w:val="21"/>
              </w:rPr>
            </w:pPr>
          </w:p>
          <w:p w:rsidR="000A2EBB" w:rsidRDefault="000A2EBB" w:rsidP="0024539D">
            <w:pPr>
              <w:pStyle w:val="TableParagraph"/>
              <w:spacing w:line="240" w:lineRule="auto"/>
              <w:ind w:left="17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Assinatura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carimbo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do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responsável</w:t>
            </w:r>
          </w:p>
        </w:tc>
        <w:tc>
          <w:tcPr>
            <w:tcW w:w="872" w:type="dxa"/>
          </w:tcPr>
          <w:p w:rsidR="000A2EBB" w:rsidRDefault="000A2EBB" w:rsidP="0024539D">
            <w:pPr>
              <w:pStyle w:val="TableParagraph"/>
              <w:spacing w:line="247" w:lineRule="exact"/>
              <w:ind w:left="236" w:right="23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Sim</w:t>
            </w:r>
          </w:p>
        </w:tc>
        <w:tc>
          <w:tcPr>
            <w:tcW w:w="898" w:type="dxa"/>
          </w:tcPr>
          <w:p w:rsidR="000A2EBB" w:rsidRDefault="000A2EBB" w:rsidP="0024539D">
            <w:pPr>
              <w:pStyle w:val="TableParagraph"/>
              <w:spacing w:line="247" w:lineRule="exact"/>
              <w:ind w:left="237" w:right="2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Não</w:t>
            </w:r>
          </w:p>
        </w:tc>
      </w:tr>
      <w:tr w:rsidR="000A2EBB" w:rsidTr="0024539D">
        <w:trPr>
          <w:trHeight w:val="462"/>
        </w:trPr>
        <w:tc>
          <w:tcPr>
            <w:tcW w:w="6728" w:type="dxa"/>
            <w:gridSpan w:val="2"/>
            <w:vMerge/>
            <w:tcBorders>
              <w:top w:val="nil"/>
            </w:tcBorders>
          </w:tcPr>
          <w:p w:rsidR="000A2EBB" w:rsidRDefault="000A2EBB" w:rsidP="0024539D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</w:tcPr>
          <w:p w:rsidR="000A2EBB" w:rsidRDefault="000A2EBB" w:rsidP="0024539D">
            <w:pPr>
              <w:pStyle w:val="TableParagraph"/>
              <w:spacing w:line="247" w:lineRule="exact"/>
              <w:ind w:left="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S</w:t>
            </w:r>
          </w:p>
        </w:tc>
        <w:tc>
          <w:tcPr>
            <w:tcW w:w="898" w:type="dxa"/>
          </w:tcPr>
          <w:p w:rsidR="000A2EBB" w:rsidRDefault="000A2EBB" w:rsidP="0024539D">
            <w:pPr>
              <w:pStyle w:val="TableParagraph"/>
              <w:spacing w:line="247" w:lineRule="exact"/>
              <w:ind w:left="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</w:t>
            </w:r>
          </w:p>
        </w:tc>
      </w:tr>
      <w:tr w:rsidR="000A2EBB" w:rsidTr="0024539D">
        <w:trPr>
          <w:trHeight w:val="2025"/>
        </w:trPr>
        <w:tc>
          <w:tcPr>
            <w:tcW w:w="569" w:type="dxa"/>
          </w:tcPr>
          <w:p w:rsidR="000A2EBB" w:rsidRDefault="000A2EBB" w:rsidP="0024539D">
            <w:pPr>
              <w:pStyle w:val="TableParagraph"/>
              <w:spacing w:line="247" w:lineRule="exact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6159" w:type="dxa"/>
          </w:tcPr>
          <w:p w:rsidR="000A2EBB" w:rsidRDefault="000A2EBB" w:rsidP="0024539D">
            <w:pPr>
              <w:pStyle w:val="TableParagraph"/>
              <w:spacing w:line="240" w:lineRule="auto"/>
              <w:ind w:left="107" w:right="94"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Foi juntada aos autos a planilha consolidada contendo as cedências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realizadas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com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Município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signatário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constando: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nome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do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servidor</w:t>
            </w:r>
            <w:r>
              <w:rPr>
                <w:rFonts w:ascii="Times New Roman" w:hAnsi="Times New Roman"/>
                <w:spacing w:val="-53"/>
              </w:rPr>
              <w:t xml:space="preserve"> </w:t>
            </w:r>
            <w:r>
              <w:rPr>
                <w:rFonts w:ascii="Times New Roman" w:hAnsi="Times New Roman"/>
              </w:rPr>
              <w:t>cedido, número do processo específico a ele referente aberto no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órgão de origem; a natureza da cedência, se sem ônus ou com ônus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mediante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reembolso;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valor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da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remuneração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acrescida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dos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encargos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legais;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Times New Roman" w:hAnsi="Times New Roman"/>
              </w:rPr>
              <w:t>órgão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</w:rPr>
              <w:t>origem;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Times New Roman" w:hAnsi="Times New Roman"/>
              </w:rPr>
              <w:t>número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</w:rPr>
              <w:t>do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</w:rPr>
              <w:t>Decreto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</w:rPr>
              <w:t>autorizou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</w:p>
          <w:p w:rsidR="000A2EBB" w:rsidRDefault="000A2EBB" w:rsidP="0024539D">
            <w:pPr>
              <w:pStyle w:val="TableParagraph"/>
              <w:spacing w:line="252" w:lineRule="exact"/>
              <w:ind w:left="107" w:right="9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cedência e a data de sua publicação no D.O. do Estado; período da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cedência?</w:t>
            </w:r>
          </w:p>
        </w:tc>
        <w:tc>
          <w:tcPr>
            <w:tcW w:w="872" w:type="dxa"/>
          </w:tcPr>
          <w:p w:rsidR="000A2EBB" w:rsidRDefault="000A2EBB" w:rsidP="0024539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0A2EBB" w:rsidRDefault="000A2EBB" w:rsidP="0024539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0A2EBB" w:rsidTr="0024539D">
        <w:trPr>
          <w:trHeight w:val="2022"/>
        </w:trPr>
        <w:tc>
          <w:tcPr>
            <w:tcW w:w="569" w:type="dxa"/>
          </w:tcPr>
          <w:p w:rsidR="000A2EBB" w:rsidRDefault="000A2EBB" w:rsidP="0024539D">
            <w:pPr>
              <w:pStyle w:val="TableParagraph"/>
              <w:spacing w:line="247" w:lineRule="exact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6159" w:type="dxa"/>
          </w:tcPr>
          <w:p w:rsidR="000A2EBB" w:rsidRDefault="000A2EBB" w:rsidP="0024539D">
            <w:pPr>
              <w:pStyle w:val="TableParagraph"/>
              <w:spacing w:line="240" w:lineRule="auto"/>
              <w:ind w:left="107" w:right="9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Foram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juntadas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aos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autos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as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planilhas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mensais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atualizadas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encaminhadas à SEFAZ contendo a remuneração e os encargos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legais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dos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servidores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cedidos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com ônus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para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origem,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mediante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reembolso, do Município, de forma a propiciar o abatimento, para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fins de compensação, com os repasses relativos ao ICMS de que 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Município cessionário seja credor em face do Estado, conforme art.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5º do Decreto Estadual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n. 14.905/2017?</w:t>
            </w:r>
          </w:p>
        </w:tc>
        <w:tc>
          <w:tcPr>
            <w:tcW w:w="872" w:type="dxa"/>
          </w:tcPr>
          <w:p w:rsidR="000A2EBB" w:rsidRDefault="000A2EBB" w:rsidP="0024539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0A2EBB" w:rsidRDefault="000A2EBB" w:rsidP="0024539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:rsidR="000A2EBB" w:rsidRDefault="000A2EBB" w:rsidP="000A2EBB">
      <w:pPr>
        <w:pStyle w:val="Corpodetexto"/>
        <w:spacing w:before="5"/>
        <w:rPr>
          <w:b/>
          <w:sz w:val="23"/>
        </w:rPr>
      </w:pPr>
    </w:p>
    <w:p w:rsidR="000A2EBB" w:rsidRDefault="000A2EBB" w:rsidP="000A2EBB">
      <w:pPr>
        <w:ind w:left="588" w:right="142"/>
        <w:jc w:val="both"/>
      </w:pPr>
      <w:r>
        <w:t>**O</w:t>
      </w:r>
      <w:r>
        <w:rPr>
          <w:spacing w:val="-9"/>
        </w:rPr>
        <w:t xml:space="preserve"> </w:t>
      </w:r>
      <w:r>
        <w:rPr>
          <w:i/>
        </w:rPr>
        <w:t>check</w:t>
      </w:r>
      <w:r>
        <w:rPr>
          <w:i/>
          <w:spacing w:val="-9"/>
        </w:rPr>
        <w:t xml:space="preserve"> </w:t>
      </w:r>
      <w:r>
        <w:rPr>
          <w:i/>
        </w:rPr>
        <w:t>list</w:t>
      </w:r>
      <w:r>
        <w:rPr>
          <w:i/>
          <w:spacing w:val="-10"/>
        </w:rPr>
        <w:t xml:space="preserve"> </w:t>
      </w:r>
      <w:r>
        <w:t>anual</w:t>
      </w:r>
      <w:r>
        <w:rPr>
          <w:spacing w:val="-9"/>
        </w:rPr>
        <w:t xml:space="preserve"> </w:t>
      </w:r>
      <w:r>
        <w:t>será</w:t>
      </w:r>
      <w:r>
        <w:rPr>
          <w:spacing w:val="-10"/>
        </w:rPr>
        <w:t xml:space="preserve"> </w:t>
      </w:r>
      <w:r>
        <w:t>realizado</w:t>
      </w:r>
      <w:r>
        <w:rPr>
          <w:spacing w:val="-10"/>
        </w:rPr>
        <w:t xml:space="preserve"> </w:t>
      </w:r>
      <w:r>
        <w:t>ao</w:t>
      </w:r>
      <w:r>
        <w:rPr>
          <w:spacing w:val="-10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primeiro</w:t>
      </w:r>
      <w:r>
        <w:rPr>
          <w:spacing w:val="-11"/>
        </w:rPr>
        <w:t xml:space="preserve"> </w:t>
      </w:r>
      <w:r>
        <w:t>ano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convênio,</w:t>
      </w:r>
      <w:r>
        <w:rPr>
          <w:spacing w:val="-11"/>
        </w:rPr>
        <w:t xml:space="preserve"> </w:t>
      </w:r>
      <w:r>
        <w:t>atestando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regularidade</w:t>
      </w:r>
      <w:r>
        <w:rPr>
          <w:spacing w:val="-52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mesmo</w:t>
      </w:r>
      <w:r>
        <w:rPr>
          <w:spacing w:val="-8"/>
        </w:rPr>
        <w:t xml:space="preserve"> </w:t>
      </w:r>
      <w:r>
        <w:t>durante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primeiro</w:t>
      </w:r>
      <w:r>
        <w:rPr>
          <w:spacing w:val="-9"/>
        </w:rPr>
        <w:t xml:space="preserve"> </w:t>
      </w:r>
      <w:r>
        <w:t>ano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vigência,</w:t>
      </w:r>
      <w:r>
        <w:rPr>
          <w:spacing w:val="-8"/>
        </w:rPr>
        <w:t xml:space="preserve"> </w:t>
      </w:r>
      <w:r>
        <w:t>mediante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juntada</w:t>
      </w:r>
      <w:r>
        <w:rPr>
          <w:spacing w:val="-9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planilhas</w:t>
      </w:r>
      <w:r>
        <w:rPr>
          <w:spacing w:val="-11"/>
        </w:rPr>
        <w:t xml:space="preserve"> </w:t>
      </w:r>
      <w:r>
        <w:t>referentes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todos</w:t>
      </w:r>
      <w:r>
        <w:rPr>
          <w:spacing w:val="-5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meses, devidamente</w:t>
      </w:r>
      <w:r>
        <w:rPr>
          <w:spacing w:val="-2"/>
        </w:rPr>
        <w:t xml:space="preserve"> </w:t>
      </w:r>
      <w:r>
        <w:t>atualizadas.</w:t>
      </w:r>
    </w:p>
    <w:p w:rsidR="000A2EBB" w:rsidRDefault="000A2EBB" w:rsidP="000A2EBB">
      <w:pPr>
        <w:pStyle w:val="Corpodetexto"/>
        <w:rPr>
          <w:sz w:val="20"/>
        </w:rPr>
      </w:pPr>
    </w:p>
    <w:p w:rsidR="001E5F73" w:rsidRDefault="001E5F73"/>
    <w:sectPr w:rsidR="001E5F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DCB" w:rsidRDefault="008E4DCB" w:rsidP="008E4DCB">
      <w:r>
        <w:separator/>
      </w:r>
    </w:p>
  </w:endnote>
  <w:endnote w:type="continuationSeparator" w:id="0">
    <w:p w:rsidR="008E4DCB" w:rsidRDefault="008E4DCB" w:rsidP="008E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DCB" w:rsidRDefault="008E4DC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DCB" w:rsidRDefault="008E4DCB" w:rsidP="008E4DCB">
    <w:pPr>
      <w:pStyle w:val="Rodap"/>
      <w:jc w:val="both"/>
    </w:pPr>
    <w:bookmarkStart w:id="0" w:name="_GoBack"/>
    <w:r w:rsidRPr="00DD77A6">
      <w:rPr>
        <w:sz w:val="16"/>
        <w:szCs w:val="16"/>
      </w:rPr>
      <w:t>Parque dos Poderes – bloco I</w:t>
    </w:r>
    <w:r>
      <w:rPr>
        <w:sz w:val="16"/>
        <w:szCs w:val="16"/>
      </w:rPr>
      <w:t xml:space="preserve"> </w:t>
    </w:r>
    <w:r w:rsidRPr="00DD77A6">
      <w:rPr>
        <w:sz w:val="16"/>
        <w:szCs w:val="16"/>
      </w:rPr>
      <w:t>Campo Grande – MS</w:t>
    </w:r>
    <w:r>
      <w:rPr>
        <w:sz w:val="16"/>
        <w:szCs w:val="16"/>
      </w:rPr>
      <w:t xml:space="preserve"> </w:t>
    </w:r>
    <w:r w:rsidRPr="00DD77A6">
      <w:rPr>
        <w:sz w:val="16"/>
        <w:szCs w:val="16"/>
      </w:rPr>
      <w:t>CEP 79.031-902</w:t>
    </w:r>
    <w:r w:rsidRPr="00DD77A6">
      <w:rPr>
        <w:sz w:val="16"/>
        <w:szCs w:val="16"/>
      </w:rPr>
      <w:br/>
    </w:r>
    <w:hyperlink r:id="rId1" w:history="1">
      <w:r w:rsidRPr="00DD77A6">
        <w:rPr>
          <w:rStyle w:val="Hyperlink"/>
          <w:sz w:val="16"/>
          <w:szCs w:val="16"/>
        </w:rPr>
        <w:t>www.pge.ms.gov.br</w:t>
      </w:r>
    </w:hyperlink>
    <w:r w:rsidRPr="00DD77A6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 w:rsidRPr="00DD77A6">
      <w:rPr>
        <w:sz w:val="16"/>
        <w:szCs w:val="16"/>
      </w:rPr>
      <w:t>(67) 3318-1409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DCB" w:rsidRDefault="008E4D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DCB" w:rsidRDefault="008E4DCB" w:rsidP="008E4DCB">
      <w:r>
        <w:separator/>
      </w:r>
    </w:p>
  </w:footnote>
  <w:footnote w:type="continuationSeparator" w:id="0">
    <w:p w:rsidR="008E4DCB" w:rsidRDefault="008E4DCB" w:rsidP="008E4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DCB" w:rsidRDefault="008E4DC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DCB" w:rsidRPr="00DD77A6" w:rsidRDefault="008E4DCB" w:rsidP="008E4DCB">
    <w:pPr>
      <w:pStyle w:val="Cabealho"/>
      <w:jc w:val="center"/>
      <w:rPr>
        <w:b/>
        <w:sz w:val="28"/>
        <w:szCs w:val="28"/>
      </w:rPr>
    </w:pPr>
    <w:r w:rsidRPr="00DD77A6">
      <w:rPr>
        <w:b/>
        <w:sz w:val="28"/>
        <w:szCs w:val="28"/>
      </w:rPr>
      <w:t>ESTADO DE MATO GROSSO DO SUL</w:t>
    </w:r>
  </w:p>
  <w:p w:rsidR="008E4DCB" w:rsidRPr="00DD77A6" w:rsidRDefault="008E4DCB" w:rsidP="008E4DCB">
    <w:pPr>
      <w:pStyle w:val="Cabealho"/>
      <w:pBdr>
        <w:bottom w:val="triple" w:sz="4" w:space="1" w:color="auto"/>
      </w:pBdr>
      <w:jc w:val="center"/>
      <w:rPr>
        <w:b/>
        <w:spacing w:val="40"/>
        <w:sz w:val="28"/>
        <w:szCs w:val="28"/>
      </w:rPr>
    </w:pPr>
    <w:r w:rsidRPr="00DD77A6">
      <w:rPr>
        <w:b/>
        <w:spacing w:val="40"/>
        <w:sz w:val="28"/>
        <w:szCs w:val="28"/>
      </w:rPr>
      <w:t>PROCURADORIA-GERAL DO ESTADO</w:t>
    </w:r>
  </w:p>
  <w:p w:rsidR="008E4DCB" w:rsidRDefault="008E4DC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DCB" w:rsidRDefault="008E4D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2F"/>
    <w:rsid w:val="000A2EBB"/>
    <w:rsid w:val="001E5F73"/>
    <w:rsid w:val="0023112F"/>
    <w:rsid w:val="008E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69F56-C771-445D-A214-01714E9C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A2E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2E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A2EB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A2EBB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0A2EBB"/>
    <w:pPr>
      <w:spacing w:line="155" w:lineRule="exact"/>
    </w:pPr>
    <w:rPr>
      <w:rFonts w:ascii="Cambria" w:eastAsia="Cambria" w:hAnsi="Cambria" w:cs="Cambria"/>
    </w:rPr>
  </w:style>
  <w:style w:type="paragraph" w:styleId="Cabealho">
    <w:name w:val="header"/>
    <w:basedOn w:val="Normal"/>
    <w:link w:val="CabealhoChar"/>
    <w:unhideWhenUsed/>
    <w:rsid w:val="008E4D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4DC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E4D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DCB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rsid w:val="008E4D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e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4</cp:revision>
  <dcterms:created xsi:type="dcterms:W3CDTF">2024-02-28T17:58:00Z</dcterms:created>
  <dcterms:modified xsi:type="dcterms:W3CDTF">2024-06-17T15:25:00Z</dcterms:modified>
</cp:coreProperties>
</file>