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807" w:rsidRDefault="00801807"/>
    <w:p w:rsidR="00612B1F" w:rsidRPr="00612B1F" w:rsidRDefault="00612B1F" w:rsidP="00612B1F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pt-BR"/>
        </w:rPr>
      </w:pPr>
      <w:r w:rsidRPr="00612B1F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pt-BR"/>
        </w:rPr>
        <w:t>ANEXO III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12B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ESCLARECIMENTOS INICIAIS SOBRE A MINUTA-PADRÃO DE CONTRATO PARA A CONTRATAÇÃO DE PROFISSIONAL DE QUALQUER SETOR ARTÍSTICO POR MEIO DE INEXIGIBILIDADE DE LICITAÇÃO (ART. 25, INC. III, LEI FEDERAL </w:t>
      </w:r>
      <w:proofErr w:type="gramStart"/>
      <w:r w:rsidRPr="00612B1F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Pr="00612B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8.666/1993)</w:t>
      </w:r>
    </w:p>
    <w:p w:rsidR="00612B1F" w:rsidRPr="00612B1F" w:rsidRDefault="00612B1F" w:rsidP="00612B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12B1F" w:rsidRPr="00612B1F" w:rsidRDefault="00612B1F" w:rsidP="00612B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12B1F">
        <w:rPr>
          <w:rFonts w:ascii="Arial" w:eastAsia="Times New Roman" w:hAnsi="Arial" w:cs="Arial"/>
          <w:sz w:val="24"/>
          <w:szCs w:val="24"/>
          <w:lang w:eastAsia="pt-BR"/>
        </w:rPr>
        <w:t xml:space="preserve">A minuta-padrão a seguir possui </w:t>
      </w:r>
      <w:r w:rsidRPr="00612B1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textos em vermelho</w:t>
      </w:r>
      <w:r w:rsidRPr="00612B1F">
        <w:rPr>
          <w:rFonts w:ascii="Arial" w:eastAsia="Times New Roman" w:hAnsi="Arial" w:cs="Arial"/>
          <w:sz w:val="24"/>
          <w:szCs w:val="24"/>
          <w:lang w:eastAsia="pt-BR"/>
        </w:rPr>
        <w:t xml:space="preserve"> e </w:t>
      </w:r>
      <w:r w:rsidRPr="00612B1F">
        <w:rPr>
          <w:rFonts w:ascii="Arial" w:eastAsia="Times New Roman" w:hAnsi="Arial" w:cs="Arial"/>
          <w:color w:val="FF0000"/>
          <w:sz w:val="24"/>
          <w:szCs w:val="24"/>
          <w:highlight w:val="yellow"/>
          <w:lang w:eastAsia="pt-BR"/>
        </w:rPr>
        <w:t>realces de texto em amarelo</w:t>
      </w:r>
      <w:r w:rsidRPr="00612B1F">
        <w:rPr>
          <w:rFonts w:ascii="Arial" w:eastAsia="Times New Roman" w:hAnsi="Arial" w:cs="Arial"/>
          <w:sz w:val="24"/>
          <w:szCs w:val="24"/>
          <w:lang w:eastAsia="pt-BR"/>
        </w:rPr>
        <w:t>. Nesses trechos, deve o órgão ou a entidade contratante ficar atento para a necessidade de preenchimento, supressão ou adequação, de acordo com o objeto da contratação e critério de oportunidade e conveniência da Administração.</w:t>
      </w:r>
    </w:p>
    <w:p w:rsidR="00612B1F" w:rsidRPr="00612B1F" w:rsidRDefault="00612B1F" w:rsidP="00612B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12B1F" w:rsidRPr="00612B1F" w:rsidRDefault="00612B1F" w:rsidP="00612B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12B1F">
        <w:rPr>
          <w:rFonts w:ascii="Arial" w:eastAsia="Times New Roman" w:hAnsi="Arial" w:cs="Arial"/>
          <w:sz w:val="24"/>
          <w:szCs w:val="24"/>
          <w:lang w:eastAsia="pt-BR"/>
        </w:rPr>
        <w:t xml:space="preserve">Há </w:t>
      </w:r>
      <w:r w:rsidRPr="00612B1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notas explicativas</w:t>
      </w:r>
      <w:r w:rsidRPr="00612B1F">
        <w:rPr>
          <w:rFonts w:ascii="Arial" w:eastAsia="Times New Roman" w:hAnsi="Arial" w:cs="Arial"/>
          <w:sz w:val="24"/>
          <w:szCs w:val="24"/>
          <w:lang w:eastAsia="pt-BR"/>
        </w:rPr>
        <w:t xml:space="preserve"> e </w:t>
      </w:r>
      <w:r w:rsidRPr="00612B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orientações práticas </w:t>
      </w:r>
      <w:r w:rsidRPr="00612B1F">
        <w:rPr>
          <w:rFonts w:ascii="Arial" w:eastAsia="Times New Roman" w:hAnsi="Arial" w:cs="Arial"/>
          <w:sz w:val="24"/>
          <w:szCs w:val="24"/>
          <w:lang w:eastAsia="pt-BR"/>
        </w:rPr>
        <w:t>no decorrer do texto, que têm o objetivo de facilitar o entendimento e nortear os responsáveis pela elaboração do documento. Elas devem ser retiradas do texto final.</w:t>
      </w:r>
    </w:p>
    <w:p w:rsidR="00612B1F" w:rsidRPr="00612B1F" w:rsidRDefault="00612B1F" w:rsidP="00612B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12B1F" w:rsidRPr="00612B1F" w:rsidRDefault="00612B1F" w:rsidP="00612B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12B1F">
        <w:rPr>
          <w:rFonts w:ascii="Arial" w:eastAsia="Times New Roman" w:hAnsi="Arial" w:cs="Arial"/>
          <w:sz w:val="24"/>
          <w:szCs w:val="24"/>
          <w:lang w:eastAsia="pt-BR"/>
        </w:rPr>
        <w:t>Caso seja necessária a realização de modificação em texto de observância obrigatória ou de acréscimo de cláusulas e havendo necessidade de consulta ao órgão jurídico acerca dessas alterações, elas devem ser destacadas no texto e informada a alteração, juntamente com a sua justificativa e o apontamento da dúvida jurídica pertinente a cada uma delas.</w:t>
      </w:r>
    </w:p>
    <w:p w:rsidR="00612B1F" w:rsidRPr="00612B1F" w:rsidRDefault="00612B1F" w:rsidP="00612B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12B1F" w:rsidRPr="00612B1F" w:rsidRDefault="00612B1F" w:rsidP="00612B1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12B1F">
        <w:rPr>
          <w:rFonts w:ascii="Arial" w:eastAsia="Times New Roman" w:hAnsi="Arial" w:cs="Arial"/>
          <w:sz w:val="24"/>
          <w:szCs w:val="24"/>
          <w:lang w:eastAsia="pt-BR"/>
        </w:rPr>
        <w:t xml:space="preserve">Sugestões de alteração da minuta-padrão poderão ser encaminhadas ao e-mail: </w:t>
      </w:r>
      <w:r w:rsidRPr="00612B1F">
        <w:rPr>
          <w:rFonts w:ascii="Arial" w:eastAsia="Times New Roman" w:hAnsi="Arial" w:cs="Arial"/>
          <w:b/>
          <w:sz w:val="24"/>
          <w:szCs w:val="24"/>
          <w:lang w:eastAsia="pt-BR"/>
        </w:rPr>
        <w:t>asstecgab@pge.ms.gov.br</w:t>
      </w:r>
      <w:r w:rsidRPr="00612B1F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612B1F" w:rsidRPr="00612B1F" w:rsidRDefault="00612B1F" w:rsidP="00612B1F">
      <w:pPr>
        <w:widowControl w:val="0"/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color w:val="000000"/>
          <w:spacing w:val="46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color w:val="000000"/>
          <w:spacing w:val="46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color w:val="000000"/>
          <w:spacing w:val="46"/>
          <w:sz w:val="20"/>
          <w:szCs w:val="20"/>
          <w:lang w:eastAsia="pt-BR"/>
        </w:rPr>
      </w:pPr>
    </w:p>
    <w:tbl>
      <w:tblPr>
        <w:tblStyle w:val="Tabelacomgrad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696"/>
        <w:gridCol w:w="1985"/>
      </w:tblGrid>
      <w:tr w:rsidR="00612B1F" w:rsidRPr="00612B1F" w:rsidTr="00663FEC">
        <w:trPr>
          <w:jc w:val="center"/>
        </w:trPr>
        <w:tc>
          <w:tcPr>
            <w:tcW w:w="1696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Cs w:val="18"/>
              </w:rPr>
            </w:pPr>
            <w:r w:rsidRPr="00612B1F">
              <w:rPr>
                <w:rFonts w:ascii="Arial" w:hAnsi="Arial" w:cs="Arial"/>
                <w:b/>
                <w:szCs w:val="18"/>
              </w:rPr>
              <w:t>Versão</w:t>
            </w:r>
          </w:p>
        </w:tc>
        <w:tc>
          <w:tcPr>
            <w:tcW w:w="1985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Cs w:val="18"/>
              </w:rPr>
            </w:pPr>
            <w:r w:rsidRPr="00612B1F">
              <w:rPr>
                <w:rFonts w:ascii="Arial" w:hAnsi="Arial" w:cs="Arial"/>
                <w:b/>
                <w:szCs w:val="18"/>
              </w:rPr>
              <w:t>Data</w:t>
            </w:r>
          </w:p>
        </w:tc>
      </w:tr>
      <w:tr w:rsidR="00612B1F" w:rsidRPr="00612B1F" w:rsidTr="00663FEC">
        <w:trPr>
          <w:jc w:val="center"/>
        </w:trPr>
        <w:tc>
          <w:tcPr>
            <w:tcW w:w="1696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Cs w:val="18"/>
              </w:rPr>
            </w:pPr>
            <w:r w:rsidRPr="00612B1F">
              <w:rPr>
                <w:rFonts w:ascii="Arial" w:hAnsi="Arial" w:cs="Arial"/>
                <w:szCs w:val="18"/>
              </w:rPr>
              <w:t>1.0</w:t>
            </w:r>
          </w:p>
        </w:tc>
        <w:tc>
          <w:tcPr>
            <w:tcW w:w="1985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Cs w:val="18"/>
              </w:rPr>
            </w:pPr>
          </w:p>
        </w:tc>
      </w:tr>
      <w:tr w:rsidR="00612B1F" w:rsidRPr="00612B1F" w:rsidTr="00663FEC">
        <w:trPr>
          <w:jc w:val="center"/>
        </w:trPr>
        <w:tc>
          <w:tcPr>
            <w:tcW w:w="1696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1985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Cs w:val="18"/>
              </w:rPr>
            </w:pPr>
          </w:p>
        </w:tc>
      </w:tr>
      <w:tr w:rsidR="00612B1F" w:rsidRPr="00612B1F" w:rsidTr="00663FEC">
        <w:trPr>
          <w:jc w:val="center"/>
        </w:trPr>
        <w:tc>
          <w:tcPr>
            <w:tcW w:w="1696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color w:val="000000"/>
                <w:spacing w:val="46"/>
                <w:szCs w:val="18"/>
              </w:rPr>
            </w:pPr>
          </w:p>
        </w:tc>
        <w:tc>
          <w:tcPr>
            <w:tcW w:w="1985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color w:val="000000"/>
                <w:spacing w:val="46"/>
                <w:szCs w:val="18"/>
                <w:highlight w:val="yellow"/>
              </w:rPr>
            </w:pPr>
          </w:p>
        </w:tc>
      </w:tr>
      <w:tr w:rsidR="00612B1F" w:rsidRPr="00612B1F" w:rsidTr="00663FEC">
        <w:trPr>
          <w:jc w:val="center"/>
        </w:trPr>
        <w:tc>
          <w:tcPr>
            <w:tcW w:w="1696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color w:val="000000"/>
                <w:spacing w:val="46"/>
                <w:szCs w:val="18"/>
              </w:rPr>
            </w:pPr>
          </w:p>
        </w:tc>
        <w:tc>
          <w:tcPr>
            <w:tcW w:w="1985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color w:val="000000"/>
                <w:spacing w:val="46"/>
                <w:szCs w:val="18"/>
                <w:highlight w:val="yellow"/>
              </w:rPr>
            </w:pPr>
          </w:p>
        </w:tc>
      </w:tr>
      <w:tr w:rsidR="00612B1F" w:rsidRPr="00612B1F" w:rsidTr="00663FEC">
        <w:trPr>
          <w:jc w:val="center"/>
        </w:trPr>
        <w:tc>
          <w:tcPr>
            <w:tcW w:w="1696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color w:val="000000"/>
                <w:spacing w:val="46"/>
                <w:szCs w:val="18"/>
              </w:rPr>
            </w:pPr>
          </w:p>
        </w:tc>
        <w:tc>
          <w:tcPr>
            <w:tcW w:w="1985" w:type="dxa"/>
          </w:tcPr>
          <w:p w:rsidR="00612B1F" w:rsidRPr="00612B1F" w:rsidRDefault="00612B1F" w:rsidP="00612B1F">
            <w:pPr>
              <w:widowControl w:val="0"/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color w:val="000000"/>
                <w:spacing w:val="46"/>
                <w:szCs w:val="18"/>
              </w:rPr>
            </w:pPr>
          </w:p>
        </w:tc>
      </w:tr>
    </w:tbl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bookmarkStart w:id="0" w:name="_GoBack"/>
      <w:bookmarkEnd w:id="0"/>
      <w:r w:rsidRPr="00612B1F">
        <w:rPr>
          <w:rFonts w:ascii="Arial" w:eastAsia="Times New Roman" w:hAnsi="Arial" w:cs="Arial"/>
          <w:sz w:val="20"/>
          <w:szCs w:val="20"/>
          <w:lang w:eastAsia="pt-BR"/>
        </w:rPr>
        <w:br w:type="page"/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x-none"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val="x-none" w:eastAsia="pt-BR"/>
        </w:rPr>
        <w:t>CONTRATO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x-none"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x-none" w:eastAsia="pt-BR"/>
        </w:rPr>
      </w:pPr>
    </w:p>
    <w:p w:rsidR="00612B1F" w:rsidRPr="00612B1F" w:rsidRDefault="00612B1F" w:rsidP="00612B1F">
      <w:pPr>
        <w:suppressAutoHyphens/>
        <w:spacing w:after="0" w:line="240" w:lineRule="auto"/>
        <w:ind w:left="5670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Contrato n. </w:t>
      </w:r>
      <w:r w:rsidRPr="00612B1F">
        <w:rPr>
          <w:rFonts w:ascii="Arial" w:eastAsia="Times New Roman" w:hAnsi="Arial" w:cs="Arial"/>
          <w:b/>
          <w:color w:val="FF0000"/>
          <w:sz w:val="20"/>
          <w:szCs w:val="20"/>
          <w:highlight w:val="yellow"/>
          <w:lang w:eastAsia="ar-SA"/>
        </w:rPr>
        <w:t>......./20......</w:t>
      </w:r>
      <w:r w:rsidRPr="00612B1F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 </w:t>
      </w:r>
      <w:r w:rsidRPr="00612B1F">
        <w:rPr>
          <w:rFonts w:ascii="Arial" w:eastAsia="Times New Roman" w:hAnsi="Arial" w:cs="Arial"/>
          <w:sz w:val="20"/>
          <w:szCs w:val="20"/>
          <w:lang w:eastAsia="ar-SA"/>
        </w:rPr>
        <w:t xml:space="preserve">objetivando a </w:t>
      </w:r>
      <w:r w:rsidRPr="00612B1F">
        <w:rPr>
          <w:rFonts w:ascii="Arial" w:eastAsia="Times New Roman" w:hAnsi="Arial" w:cs="Arial"/>
          <w:b/>
          <w:bCs/>
          <w:color w:val="FF0000"/>
          <w:sz w:val="20"/>
          <w:szCs w:val="20"/>
          <w:highlight w:val="yellow"/>
          <w:lang w:eastAsia="ar-SA"/>
        </w:rPr>
        <w:t xml:space="preserve">contratação de </w:t>
      </w:r>
      <w:r w:rsidRPr="00612B1F">
        <w:rPr>
          <w:rFonts w:ascii="Arial" w:eastAsia="Times New Roman" w:hAnsi="Arial" w:cs="Arial"/>
          <w:b/>
          <w:color w:val="FF0000"/>
          <w:sz w:val="20"/>
          <w:szCs w:val="20"/>
          <w:highlight w:val="yellow"/>
          <w:lang w:eastAsia="ar-SA"/>
        </w:rPr>
        <w:t xml:space="preserve">............ </w:t>
      </w:r>
      <w:r w:rsidRPr="00612B1F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que entre si celebram </w:t>
      </w:r>
      <w:proofErr w:type="gramStart"/>
      <w:r w:rsidRPr="00612B1F">
        <w:rPr>
          <w:rFonts w:ascii="Arial" w:eastAsia="Times New Roman" w:hAnsi="Arial" w:cs="Arial"/>
          <w:bCs/>
          <w:sz w:val="20"/>
          <w:szCs w:val="20"/>
          <w:lang w:eastAsia="ar-SA"/>
        </w:rPr>
        <w:t>o(</w:t>
      </w:r>
      <w:proofErr w:type="gramEnd"/>
      <w:r w:rsidRPr="00612B1F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a) </w:t>
      </w:r>
      <w:r w:rsidRPr="00612B1F">
        <w:rPr>
          <w:rFonts w:ascii="Arial" w:eastAsia="Times New Roman" w:hAnsi="Arial" w:cs="Arial"/>
          <w:bCs/>
          <w:color w:val="FF0000"/>
          <w:sz w:val="20"/>
          <w:szCs w:val="20"/>
          <w:highlight w:val="yellow"/>
          <w:lang w:eastAsia="ar-SA"/>
        </w:rPr>
        <w:t>...................., por meio da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ar-SA"/>
        </w:rPr>
        <w:t xml:space="preserve"> .......................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ar-SA"/>
        </w:rPr>
        <w:t xml:space="preserve"> </w:t>
      </w:r>
      <w:proofErr w:type="gramStart"/>
      <w:r w:rsidRPr="00612B1F">
        <w:rPr>
          <w:rFonts w:ascii="Arial" w:eastAsia="Times New Roman" w:hAnsi="Arial" w:cs="Arial"/>
          <w:bCs/>
          <w:sz w:val="20"/>
          <w:szCs w:val="20"/>
          <w:lang w:eastAsia="ar-SA"/>
        </w:rPr>
        <w:t>e</w:t>
      </w:r>
      <w:proofErr w:type="gramEnd"/>
      <w:r w:rsidRPr="00612B1F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</w:t>
      </w:r>
      <w:r w:rsidRPr="00612B1F">
        <w:rPr>
          <w:rFonts w:ascii="Arial" w:eastAsia="Times New Roman" w:hAnsi="Arial" w:cs="Arial"/>
          <w:bCs/>
          <w:color w:val="FF0000"/>
          <w:sz w:val="20"/>
          <w:szCs w:val="20"/>
          <w:highlight w:val="yellow"/>
          <w:lang w:eastAsia="ar-SA"/>
        </w:rPr>
        <w:t xml:space="preserve">.................... </w:t>
      </w:r>
    </w:p>
    <w:p w:rsidR="00612B1F" w:rsidRPr="00612B1F" w:rsidRDefault="00612B1F" w:rsidP="00612B1F">
      <w:pPr>
        <w:suppressAutoHyphens/>
        <w:spacing w:after="0" w:line="240" w:lineRule="auto"/>
        <w:ind w:left="5670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O(a) </w:t>
      </w:r>
      <w:r w:rsidRPr="00612B1F">
        <w:rPr>
          <w:rFonts w:ascii="Arial" w:eastAsia="Times New Roman" w:hAnsi="Arial" w:cs="Arial"/>
          <w:b/>
          <w:color w:val="FF0000"/>
          <w:sz w:val="20"/>
          <w:szCs w:val="20"/>
          <w:highlight w:val="yellow"/>
          <w:lang w:eastAsia="pt-BR"/>
        </w:rPr>
        <w:t>......................................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 xml:space="preserve">, por meio da </w:t>
      </w:r>
      <w:r w:rsidRPr="00612B1F">
        <w:rPr>
          <w:rFonts w:ascii="Arial" w:eastAsia="Times New Roman" w:hAnsi="Arial" w:cs="Arial"/>
          <w:b/>
          <w:color w:val="FF0000"/>
          <w:sz w:val="20"/>
          <w:szCs w:val="20"/>
          <w:highlight w:val="yellow"/>
          <w:lang w:eastAsia="pt-BR"/>
        </w:rPr>
        <w:t>...........................................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,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pessoa jurídica de direito público interno, inscrita no CNPJ/MF sob n.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, estabelecida no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>, nesta Capital, neste ato representada pelo(a) seu(</w:t>
      </w:r>
      <w:proofErr w:type="spell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ua</w:t>
      </w:r>
      <w:proofErr w:type="spell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) titular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...................., (nacionalidade, estado civil, profissão)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, portador(a) do RG n.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e do CPF n.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, residente e domiciliado(a) na Rua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, nesta Capital, doravante denominado(a) CONTRATANTE e 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a empresa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pessoa jurídica de direito privado, inscrita no CNPJ/MF sob n.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Inscrição Estadual n.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com sede na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neste ato representada pelo(a) </w:t>
      </w:r>
      <w:proofErr w:type="spellStart"/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Sr</w:t>
      </w:r>
      <w:proofErr w:type="spellEnd"/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(a)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 (</w:t>
      </w:r>
      <w:proofErr w:type="gramStart"/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nacionalidade</w:t>
      </w:r>
      <w:proofErr w:type="gramEnd"/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, estado civil, profissão)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portador(a) do RG n.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</w:t>
      </w:r>
      <w:proofErr w:type="gramStart"/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e</w:t>
      </w:r>
      <w:proofErr w:type="gramEnd"/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do CPF n.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residente e domiciliado(a), na Rua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,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doravante denominado(a) CONTRATADA, celebram entre si o presente contrato, mediante as cláusulas e condições a seguir e conforme Processo Administrativo n.º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....: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12B1F">
        <w:rPr>
          <w:rFonts w:ascii="Arial" w:eastAsia="Calibri" w:hAnsi="Arial" w:cs="Arial"/>
          <w:b/>
          <w:sz w:val="20"/>
          <w:szCs w:val="20"/>
        </w:rPr>
        <w:t>Orientação prática: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12B1F">
        <w:rPr>
          <w:rFonts w:ascii="Arial" w:eastAsia="Times New Roman" w:hAnsi="Arial" w:cs="Arial"/>
          <w:bCs/>
          <w:sz w:val="20"/>
          <w:szCs w:val="20"/>
        </w:rPr>
        <w:t xml:space="preserve">Adequar a qualificação da contratada, conforme a contratação </w:t>
      </w:r>
      <w:r w:rsidRPr="00612B1F">
        <w:rPr>
          <w:rFonts w:ascii="Arial" w:eastAsia="Times New Roman" w:hAnsi="Arial" w:cs="Arial"/>
          <w:bCs/>
          <w:sz w:val="20"/>
          <w:szCs w:val="20"/>
          <w:highlight w:val="yellow"/>
        </w:rPr>
        <w:t>ocorra através de empresário exclusivo ou diretamente com pessoas físicas (artista/banda</w:t>
      </w:r>
      <w:r w:rsidRPr="00612B1F">
        <w:rPr>
          <w:rFonts w:ascii="Arial" w:eastAsia="Times New Roman" w:hAnsi="Arial" w:cs="Arial"/>
          <w:bCs/>
          <w:sz w:val="20"/>
          <w:szCs w:val="20"/>
        </w:rPr>
        <w:t>).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16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PRIMEIRA - DO OBJETO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1.1. O objeto do presente contrato é a apresentação artística 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(nome da banda ou artista)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contratado através de seu a empresário exclusivo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(nome da empresa contratada)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a ser realizada no evento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no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(local)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na data 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(.../.../....),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horário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com duração 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(...),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sob a supervisão e realização da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(órgão ou entidade)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com preços praticados de acordo com o mercado artístico, conforme artigo 25, inciso III da Lei nº 8.666/93, obedecendo aos preceitos no artigo 26 da mesma Lei que rege as Licitações Públicas.  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OU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1.1. O objeto do presente contrato é a apresentação artística 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(nome da banda ou artista)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a ser realizada no evento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no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(local)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na data 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(.../...</w:t>
      </w:r>
      <w:proofErr w:type="gramStart"/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/....</w:t>
      </w:r>
      <w:proofErr w:type="gramEnd"/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horário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com duração 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(...),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sob a supervisão e realização da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(órgão ou entidade)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, com preços praticados de acordo com o mercado artístico, conforme artigo 25, inciso III da Lei nº 8.666/93, obedecendo aos preceitos no artigo 26 da mesma Lei que rege as Licitações Públicas.  </w:t>
      </w:r>
    </w:p>
    <w:p w:rsidR="00612B1F" w:rsidRPr="00612B1F" w:rsidRDefault="00612B1F" w:rsidP="00612B1F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0"/>
          <w:lang w:eastAsia="pt-BR"/>
        </w:rPr>
      </w:pP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12B1F">
        <w:rPr>
          <w:rFonts w:ascii="Arial" w:eastAsia="Calibri" w:hAnsi="Arial" w:cs="Arial"/>
          <w:b/>
          <w:sz w:val="20"/>
          <w:szCs w:val="20"/>
        </w:rPr>
        <w:t>Orientação prática: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12B1F">
        <w:rPr>
          <w:rFonts w:ascii="Arial" w:eastAsia="Times New Roman" w:hAnsi="Arial" w:cs="Arial"/>
          <w:bCs/>
          <w:sz w:val="20"/>
          <w:szCs w:val="20"/>
          <w:highlight w:val="yellow"/>
        </w:rPr>
        <w:t>Escolher uma das redações acima, conforme a contratação ocorra através de empresário exclusivo ou diretamente com o artista/banda</w:t>
      </w:r>
      <w:r w:rsidRPr="00612B1F">
        <w:rPr>
          <w:rFonts w:ascii="Arial" w:eastAsia="Times New Roman" w:hAnsi="Arial" w:cs="Arial"/>
          <w:bCs/>
          <w:sz w:val="20"/>
          <w:szCs w:val="20"/>
        </w:rPr>
        <w:t>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SEGUNDA – DO REGIME DE EXECUÇÃO</w:t>
      </w:r>
    </w:p>
    <w:p w:rsidR="00612B1F" w:rsidRPr="00612B1F" w:rsidRDefault="00612B1F" w:rsidP="00612B1F">
      <w:pPr>
        <w:tabs>
          <w:tab w:val="left" w:pos="708"/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2.1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A presente contratação adotará como regime de execução a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.........................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(Empreitada por Preço Unitário/Empreitada por Preço Global/Execução por Tarefa/Empreitada Integral), 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conforme definido no Termo de Referência.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TERCEIRA - DO AMPARO LEGAL E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SUJEIÇÃO ÀS NORMAS LEGAIS E CONTRATUAIS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lastRenderedPageBreak/>
        <w:t xml:space="preserve">3.1. 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 legislação aplicável a este contrato será a Lei Federal n. 8.666/1993, a Lei Federal n. 8.078/1990, o Decreto Estadual n</w:t>
      </w:r>
      <w:r w:rsidRPr="00612B1F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º 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15.524/2020, o Decreto Estadual </w:t>
      </w:r>
      <w:proofErr w:type="gram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n.º</w:t>
      </w:r>
      <w:proofErr w:type="gram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15.616/2021 e o Decreto Estadual n.º 15.617/2021. 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3.2. Os casos omissos que se tornarem controvertidos em face das cláusulas do presente contrato serão resolvidos segundo os princípios jurídicos aplicáveis, por despacho fundamentado do Ordenador de Despesas da Contratante.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3.3. Após a assinatura deste contrato, toda comunicação entre a Contratante e a Contratada será feita por meio de correspondência devidamente registrada.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QUARTA – DOS DOCUMENTOS APLICÁVEIS</w:t>
      </w:r>
    </w:p>
    <w:p w:rsidR="00612B1F" w:rsidRPr="00612B1F" w:rsidRDefault="00612B1F" w:rsidP="00612B1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4.1. Integram este contrato os documentos a seguir discriminados, cujo inteiro teor as partes declaram ter conhecimento e aceitam, independentemente de sua anexação: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</w:pP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4.1.1. Termo de Referência nº ...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4.1.2. (...)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12B1F">
        <w:rPr>
          <w:rFonts w:ascii="Arial" w:eastAsia="Calibri" w:hAnsi="Arial" w:cs="Arial"/>
          <w:b/>
          <w:sz w:val="20"/>
          <w:szCs w:val="20"/>
        </w:rPr>
        <w:t>Orientação prática: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12B1F">
        <w:rPr>
          <w:rFonts w:ascii="Arial" w:eastAsia="Times New Roman" w:hAnsi="Arial" w:cs="Arial"/>
          <w:bCs/>
          <w:sz w:val="20"/>
          <w:szCs w:val="20"/>
        </w:rPr>
        <w:t>Listar os documentos pertinentes (ex.: proposta do artista, ETP etc.) em subitens.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4.2. Os documentos referidos no item anterior são considerados suficientes para, em complemento a este contrato, definirem a sua extensão e, dessa forma, regerem a execução adequada do contrato ora celebrado.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4.3. Qualquer alteração nas condições ora estipuladas neste contrato deverá ser feita por meio de Termo Aditivo assinado pelas partes.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4.4. Em caso de dúvidas ou divergências entre os documentos citados no subitem 4.1.1. </w:t>
      </w: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desta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cláusula, estas serão dirimidas considerando-se sempre os documentos mais recentes com prioridade sobre os mais antigos, e, em caso de divergências com este contrato, prevalecerá este último.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4.5. Não terão eficácia quaisquer exceções às especificações contidas neste instrumento e/ou em seus anexos, em relação às quais a Contratante não houver, por escrito, se declarado de acordo.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keepNext/>
        <w:keepLines/>
        <w:spacing w:before="40" w:after="0" w:line="240" w:lineRule="auto"/>
        <w:jc w:val="both"/>
        <w:outlineLvl w:val="3"/>
        <w:rPr>
          <w:rFonts w:ascii="Arial" w:eastAsia="Times New Roman" w:hAnsi="Arial" w:cs="Arial"/>
          <w:b/>
          <w:iCs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iCs/>
          <w:sz w:val="20"/>
          <w:szCs w:val="20"/>
          <w:lang w:eastAsia="pt-BR"/>
        </w:rPr>
        <w:t>CLÁUSULA QUINTA – DAS OBRIGAÇÕES DA CONTRATANTE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5.1.</w:t>
      </w: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>As obrigações da Contratante são: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5.1.1. Cumprir os compromissos financeiros assumidos com a Contratada;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5.1.2. Fornecer e colocar à disposição da Contratada todos os elementos e informações que se fizerem necessários à execução do objeto;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5.1.3. Proporcionar condições para a boa consecução do objeto do contrato;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5.1.4. Notificar, formal e tempestivamente, a Contratada sobre as irregularidades observadas no cumprimento do contrato;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5.1.5. Notificar a Contratada, por escrito e com antecedência, sobre multas, penalidades e quaisquer débitos de sua responsabilidade;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lastRenderedPageBreak/>
        <w:t>5.1.6. Fiscalizar o contrato através do setor competente da Contratante;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5.1.7. Acompanhar a execução dos serviços pela Contratada, podendo intervir para fins de ajustes ou suspensão.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(...)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12B1F">
        <w:rPr>
          <w:rFonts w:ascii="Arial" w:eastAsia="Calibri" w:hAnsi="Arial" w:cs="Arial"/>
          <w:b/>
          <w:sz w:val="20"/>
          <w:szCs w:val="20"/>
        </w:rPr>
        <w:t>Orientação prática: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12B1F">
        <w:rPr>
          <w:rFonts w:ascii="Arial" w:eastAsia="Calibri" w:hAnsi="Arial" w:cs="Arial"/>
          <w:sz w:val="20"/>
          <w:szCs w:val="20"/>
        </w:rPr>
        <w:t>A Administração Pública poderá inserir outras obrigações pertinentes ao objeto.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612B1F">
        <w:rPr>
          <w:rFonts w:ascii="Arial" w:eastAsia="Calibri" w:hAnsi="Arial" w:cs="Arial"/>
          <w:sz w:val="20"/>
          <w:szCs w:val="20"/>
        </w:rPr>
        <w:t>Assim, c</w:t>
      </w:r>
      <w:r w:rsidRPr="00612B1F">
        <w:rPr>
          <w:rFonts w:ascii="Arial" w:eastAsia="Calibri" w:hAnsi="Arial" w:cs="Arial"/>
          <w:bCs/>
          <w:sz w:val="20"/>
          <w:szCs w:val="20"/>
        </w:rPr>
        <w:t>aso a equipe de planejamento identifique a necessidade de incluir especificidades sobre temas que não se encontrem descritas na minuta-padrão do contrato, deverá incluir subitens.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12B1F">
        <w:rPr>
          <w:rFonts w:ascii="Arial" w:eastAsia="Calibri" w:hAnsi="Arial" w:cs="Arial"/>
          <w:sz w:val="20"/>
          <w:szCs w:val="20"/>
        </w:rPr>
        <w:t xml:space="preserve">Havendo dúvida </w:t>
      </w:r>
      <w:r w:rsidRPr="00612B1F">
        <w:rPr>
          <w:rFonts w:ascii="Arial" w:eastAsia="Calibri" w:hAnsi="Arial" w:cs="Arial"/>
          <w:sz w:val="20"/>
          <w:szCs w:val="20"/>
          <w:u w:val="single"/>
        </w:rPr>
        <w:t>jurídica</w:t>
      </w:r>
      <w:r w:rsidRPr="00612B1F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612B1F">
        <w:rPr>
          <w:rFonts w:ascii="Arial" w:eastAsia="Calibri" w:hAnsi="Arial" w:cs="Arial"/>
          <w:bCs/>
          <w:sz w:val="20"/>
          <w:szCs w:val="20"/>
        </w:rPr>
        <w:t>sobre as inclusões, esta deve ser submetida à análise jurídica do órgão competente.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16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SEXTA – DAS OBRIGAÇÕES DA CONTRATADA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16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6.1. As obrigações da Contratada são: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6.1.1. Não subcontratar, </w:t>
      </w:r>
      <w:proofErr w:type="spell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subempreitar</w:t>
      </w:r>
      <w:proofErr w:type="spell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, ceder ou transferir, total ou parcialmente o objeto do contrato, salvo se houver permissão no Termo de Referência, devendo ser observados os limites e condições nele previstos.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6.1.2. 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Executar os serviços no prazo 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>proposto e em conformidade com as especificações exigidas no Termo de Referência e demais documentos listados no item 4.1.1 deste contrato.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6.1.3. Somente divulgar informações acerca dos objetos do contrato, que envolva o nome da Contratante, mediante sua prévia e expressa autorização.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6.1.4. Manter, durante a execução do contrato, em compatibilidade com as obrigações assumidas, todas as condições de habilitação e qualificação exigidas para a contratação.</w:t>
      </w:r>
    </w:p>
    <w:p w:rsidR="00612B1F" w:rsidRPr="00612B1F" w:rsidRDefault="00612B1F" w:rsidP="00612B1F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6.1.5. Cumprir todas as leis e posturas federais, estaduais e municipais pertinentes e responsabilizar-se por todos os prejuízos decorrentes de infrações a que houver dado causa.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6.1.6. Assumir com exclusividade todos os impostos e taxas que forem devidos em decorrência do objeto do contrato, bem como as contribuições devidas à Previdência Social, encargos trabalhistas, prêmios de seguro e de acidentes de trabalho e quaisquer outras despesas que se fizerem necessárias ao cumprimento do objeto pactuado, inclusive quanto ao transporte interno dos bens que serão utilizados na execução dos serviços. 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6.1.7. Aceitar, nas mesmas condições contratuais, os acréscimos ou supressões que se fizerem no objeto até 25% (vinte e cinco por cento) do valor inicial atualizado do contrato.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6.1.8. Responder perante a Contratante e terceiros por eventuais prejuízos e danos decorrentes de sua demora ou de sua omissão, sob a sua responsabilidade ou por erro da execução do contrato. 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6.1.9. Responsabilizar-se por quaisquer ônus decorrentes de omissões ou erros na elaboração de estimativa de custos e que redundem em aumento de despesas para a Contratante.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6.1.10. Responsabilizar-se pelo ônus resultante de quaisquer ações, demandas, custos e despesas decorrentes de danos causados por culpa ou dolo de seus empregados, prepostos e/ou contratados, bem como se obrigar por quaisquer responsabilidades decorrentes de ações judiciais que lhe venham a ser atribuídas por força de lei, relacionadas com o cumprimento do contrato.</w:t>
      </w: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4"/>
          <w:lang w:eastAsia="pt-BR"/>
        </w:rPr>
        <w:lastRenderedPageBreak/>
        <w:t xml:space="preserve">6.1.11. </w:t>
      </w:r>
      <w:r w:rsidRPr="00612B1F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Recolher o Imposto sobre Serviços de Qualquer Natureza – ISSQN em consonância com o art. 3º e demais disposições da Lei Complementar Federal n. 116/2003, e respeitando as seguintes determinações:</w:t>
      </w: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4"/>
          <w:lang w:eastAsia="pt-BR"/>
        </w:rPr>
        <w:t>6.1.11.1</w:t>
      </w:r>
      <w:r w:rsidRPr="00612B1F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. Quando da celebração do contrato, a Contratada deverá indicar a legislação municipal aplicável aos serviços por ela prestados, relativamente ao tributo especificado no subitem 6.1.11.3, esclarecendo, expressamente, sobre a eventual necessidade de retenção do tributo pelo tomador dos serviços;</w:t>
      </w: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4"/>
          <w:lang w:eastAsia="pt-BR"/>
        </w:rPr>
        <w:t>6.1.11.2.</w:t>
      </w:r>
      <w:r w:rsidRPr="00612B1F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Caso se mostre exigível, à luz da legislação municipal, a retenção do ISSQN pelo tomador dos serviços:</w:t>
      </w: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4"/>
          <w:lang w:eastAsia="pt-BR"/>
        </w:rPr>
        <w:t>a)</w:t>
      </w:r>
      <w:r w:rsidRPr="00612B1F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a Contratante, na qualidade de responsável tributário, deverá reter a quantia correspondente do valor da nota fiscal, fatura, recibo ou documento de cobrança equivalente apresentada e recolher a respectiva importância em nome da Contratada no prazo previsto na legislação municipal;</w:t>
      </w: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4"/>
          <w:lang w:eastAsia="pt-BR"/>
        </w:rPr>
        <w:t>b)</w:t>
      </w:r>
      <w:r w:rsidRPr="00612B1F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a Contratada deverá destacar o valor da retenção, a título de “RETENÇÃO PARA O ISSQ”, ao emitir a nota fiscal, fatura, recibo ou documento de cobrança equivalente.</w:t>
      </w: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4"/>
          <w:lang w:eastAsia="pt-BR"/>
        </w:rPr>
        <w:t>6.1.11.3.</w:t>
      </w:r>
      <w:r w:rsidRPr="00612B1F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Caso não haja previsão, na legislação municipal, de retenção do ISSQN pelo tomador dos serviços:</w:t>
      </w: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4"/>
          <w:lang w:eastAsia="pt-BR"/>
        </w:rPr>
        <w:t>a)</w:t>
      </w:r>
      <w:r w:rsidRPr="00612B1F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a Contratada deverá apresentar declaração da Municipalidade competente com a indicação de sua data limite de recolhimento ou, se for o caso, da condição de isenção;</w:t>
      </w: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4"/>
          <w:lang w:eastAsia="pt-BR"/>
        </w:rPr>
        <w:t>b)</w:t>
      </w:r>
      <w:r w:rsidRPr="00612B1F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mensalmente, a Contratada deverá apresentar comprovante de recolhimento do ISSQN por meio de cópias autenticadas das guias correspondentes ao serviço executado e deverá estar referenciado à data de emissão da nota fiscal, fatura ou documento de cobrança equivalente;</w:t>
      </w: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bCs/>
          <w:color w:val="000000"/>
          <w:sz w:val="20"/>
          <w:szCs w:val="24"/>
          <w:lang w:eastAsia="pt-BR"/>
        </w:rPr>
      </w:pPr>
      <w:r w:rsidRPr="00612B1F">
        <w:rPr>
          <w:rFonts w:ascii="Arial" w:eastAsia="Times New Roman" w:hAnsi="Arial" w:cs="Arial"/>
          <w:bCs/>
          <w:color w:val="000000"/>
          <w:sz w:val="20"/>
          <w:szCs w:val="24"/>
          <w:lang w:eastAsia="pt-BR"/>
        </w:rPr>
        <w:t>c)</w:t>
      </w:r>
      <w:r w:rsidRPr="00612B1F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na hipótese de, por ocasião da apresentação da nota fiscal, da fatura ou do documento de cobrança equivalente, não tenha decorrido o prazo legal para recolhimento do ISSQN, poderão ser apresentadas cópias das guias de recolhimento referentes ao mês imediatamente anterior, devendo a Contratada apresentar a documentação devida quando do vencimento do prazo legal para o recolhimento.</w:t>
      </w:r>
    </w:p>
    <w:p w:rsidR="00612B1F" w:rsidRPr="00612B1F" w:rsidRDefault="00612B1F" w:rsidP="00612B1F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6.1.12. Indicar preposto para representá-la durante a execução do contrato.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(...)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12B1F">
        <w:rPr>
          <w:rFonts w:ascii="Arial" w:eastAsia="Calibri" w:hAnsi="Arial" w:cs="Arial"/>
          <w:b/>
          <w:sz w:val="20"/>
          <w:szCs w:val="20"/>
        </w:rPr>
        <w:t>Orientação prática: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12B1F">
        <w:rPr>
          <w:rFonts w:ascii="Arial" w:eastAsia="Calibri" w:hAnsi="Arial" w:cs="Arial"/>
          <w:sz w:val="20"/>
          <w:szCs w:val="20"/>
        </w:rPr>
        <w:t xml:space="preserve">A Administração Pública poderá inserir outras obrigações pertinentes ao objeto (ex.: recolher os valores devidos ao </w:t>
      </w:r>
      <w:proofErr w:type="spellStart"/>
      <w:r w:rsidRPr="00612B1F">
        <w:rPr>
          <w:rFonts w:ascii="Arial" w:eastAsia="Calibri" w:hAnsi="Arial" w:cs="Arial"/>
          <w:sz w:val="20"/>
          <w:szCs w:val="20"/>
        </w:rPr>
        <w:t>Ecad</w:t>
      </w:r>
      <w:proofErr w:type="spellEnd"/>
      <w:r w:rsidRPr="00612B1F">
        <w:rPr>
          <w:rFonts w:ascii="Arial" w:eastAsia="Calibri" w:hAnsi="Arial" w:cs="Arial"/>
          <w:sz w:val="20"/>
          <w:szCs w:val="20"/>
        </w:rPr>
        <w:t>, providenciar equipamentos de sonorização, iluminação etc.).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12B1F">
        <w:rPr>
          <w:rFonts w:ascii="Arial" w:eastAsia="Calibri" w:hAnsi="Arial" w:cs="Arial"/>
          <w:sz w:val="20"/>
          <w:szCs w:val="20"/>
        </w:rPr>
        <w:t>Assim, c</w:t>
      </w:r>
      <w:r w:rsidRPr="00612B1F">
        <w:rPr>
          <w:rFonts w:ascii="Arial" w:eastAsia="Calibri" w:hAnsi="Arial" w:cs="Arial"/>
          <w:bCs/>
          <w:sz w:val="20"/>
          <w:szCs w:val="20"/>
        </w:rPr>
        <w:t xml:space="preserve">aso a equipe de planejamento identifique a necessidade de incluir especificidades sobre temas que não se encontrem descritas na minuta-padrão do contrato, deverá incluir subitens. </w:t>
      </w:r>
      <w:r w:rsidRPr="00612B1F">
        <w:rPr>
          <w:rFonts w:ascii="Arial" w:eastAsia="Calibri" w:hAnsi="Arial" w:cs="Arial"/>
          <w:sz w:val="20"/>
          <w:szCs w:val="20"/>
        </w:rPr>
        <w:t>Havendo dúvida</w:t>
      </w:r>
      <w:r w:rsidRPr="00612B1F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612B1F">
        <w:rPr>
          <w:rFonts w:ascii="Arial" w:eastAsia="Calibri" w:hAnsi="Arial" w:cs="Arial"/>
          <w:sz w:val="20"/>
          <w:szCs w:val="20"/>
          <w:u w:val="single"/>
        </w:rPr>
        <w:t>jurídica</w:t>
      </w:r>
      <w:r w:rsidRPr="00612B1F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612B1F">
        <w:rPr>
          <w:rFonts w:ascii="Arial" w:eastAsia="Calibri" w:hAnsi="Arial" w:cs="Arial"/>
          <w:bCs/>
          <w:sz w:val="20"/>
          <w:szCs w:val="20"/>
        </w:rPr>
        <w:t>sobre as inclusões, esta deve ser submetida à análise jurídica do órgão competente.</w:t>
      </w:r>
    </w:p>
    <w:p w:rsidR="00612B1F" w:rsidRPr="00612B1F" w:rsidRDefault="00612B1F" w:rsidP="00612B1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CLÁUSULA SÉTIMA – </w:t>
      </w:r>
      <w:r w:rsidRPr="00612B1F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DOS MÉTODOS PARA EXECUÇÃO DO OBJETO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tabs>
          <w:tab w:val="left" w:pos="10206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7.1. As regras para entrega e aceitação do objeto são aquelas previstas no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item... do Termo de Referência.</w:t>
      </w:r>
    </w:p>
    <w:p w:rsidR="00612B1F" w:rsidRPr="00612B1F" w:rsidRDefault="00612B1F" w:rsidP="00612B1F">
      <w:pPr>
        <w:tabs>
          <w:tab w:val="left" w:pos="10206"/>
        </w:tabs>
        <w:spacing w:after="0" w:line="240" w:lineRule="auto"/>
        <w:ind w:left="283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tabs>
          <w:tab w:val="left" w:pos="10206"/>
        </w:tabs>
        <w:spacing w:after="0" w:line="240" w:lineRule="auto"/>
        <w:ind w:left="283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16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OITAVA – DO VALOR DO CONTRATO E DO PAGAMENTO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numPr>
          <w:ilvl w:val="1"/>
          <w:numId w:val="1"/>
        </w:numPr>
        <w:tabs>
          <w:tab w:val="num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O valor 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total a ser pago à Contratada pela execução do objeto é 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 xml:space="preserve">R$ ....................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lastRenderedPageBreak/>
        <w:t>(...........................)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.</w:t>
      </w:r>
    </w:p>
    <w:p w:rsidR="00612B1F" w:rsidRPr="00612B1F" w:rsidRDefault="00612B1F" w:rsidP="00612B1F">
      <w:pPr>
        <w:widowControl w:val="0"/>
        <w:tabs>
          <w:tab w:val="num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numPr>
          <w:ilvl w:val="1"/>
          <w:numId w:val="1"/>
        </w:numPr>
        <w:tabs>
          <w:tab w:val="clear" w:pos="360"/>
          <w:tab w:val="num" w:pos="426"/>
          <w:tab w:val="num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O pagamento, decorrente da execução do objeto do contrato, será efetuado mediante crédito em conta corrente, no prazo 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até 30 (trinta) dias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>, após o Termo de Recebimento Definitivo dos serviços, após a apresentação da respectiva nota fiscal, devidamente atestada pelo setor competente, conforme dispõe o art. 40, inciso XIV, alínea “a”, combinado com o art. 73, inciso I, alínea “b”, da Lei n° 8.666/93 e alterações.</w:t>
      </w:r>
    </w:p>
    <w:p w:rsidR="00612B1F" w:rsidRPr="00612B1F" w:rsidRDefault="00612B1F" w:rsidP="00612B1F">
      <w:pPr>
        <w:tabs>
          <w:tab w:val="left" w:pos="921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Calibri" w:eastAsia="Times New Roman" w:hAnsi="Calibri" w:cs="Calibri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8.3. O pagamento será efetuado mediante crédito na conta corrente nº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</w:t>
      </w:r>
      <w:r w:rsidRPr="00612B1F">
        <w:rPr>
          <w:rFonts w:ascii="Arial" w:eastAsia="Times New Roman" w:hAnsi="Arial" w:cs="Arial"/>
          <w:color w:val="000000"/>
          <w:sz w:val="20"/>
          <w:szCs w:val="20"/>
          <w:highlight w:val="yellow"/>
          <w:lang w:eastAsia="pt-BR"/>
        </w:rPr>
        <w:t>,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agência nº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</w:t>
      </w:r>
      <w:r w:rsidRPr="00612B1F">
        <w:rPr>
          <w:rFonts w:ascii="Arial" w:eastAsia="Times New Roman" w:hAnsi="Arial" w:cs="Arial"/>
          <w:color w:val="000000"/>
          <w:sz w:val="20"/>
          <w:szCs w:val="20"/>
          <w:highlight w:val="yellow"/>
          <w:lang w:eastAsia="pt-BR"/>
        </w:rPr>
        <w:t>,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do banco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., de titularidade da Contratada.</w:t>
      </w:r>
    </w:p>
    <w:p w:rsidR="00612B1F" w:rsidRPr="00612B1F" w:rsidRDefault="00612B1F" w:rsidP="00612B1F">
      <w:pPr>
        <w:tabs>
          <w:tab w:val="left" w:pos="921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tabs>
          <w:tab w:val="left" w:pos="921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tabs>
          <w:tab w:val="left" w:pos="7485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NONA - DOS RECURSOS ORÇAMENTÁRIOS</w:t>
      </w: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</w:p>
    <w:p w:rsidR="00612B1F" w:rsidRPr="00612B1F" w:rsidRDefault="00612B1F" w:rsidP="00612B1F">
      <w:pPr>
        <w:tabs>
          <w:tab w:val="left" w:pos="9214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9.1. As despesas decorrentes da execução dos serviços correrão à conta do Programa de Trabalho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n. ....................................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, Natureza da Despesa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n. .......................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, Item da Despesa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n. ..........................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, Fonte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n. ....................................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ar-SA"/>
        </w:rPr>
        <w:t>CLÁUSULA DÉCIMA – DO REAJUSTE</w:t>
      </w:r>
    </w:p>
    <w:p w:rsidR="00612B1F" w:rsidRPr="00612B1F" w:rsidRDefault="00612B1F" w:rsidP="00612B1F">
      <w:pPr>
        <w:suppressAutoHyphens/>
        <w:spacing w:after="0" w:line="240" w:lineRule="auto"/>
        <w:ind w:firstLine="2268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10.1. Os preços serão fixos e irreajustáveis. 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10.1.1. O valor constante da nota fiscal/fatura, quando da sua apresentação, não sofrerá qualquer atualização monetária até o efetivo pagamento.</w:t>
      </w:r>
    </w:p>
    <w:p w:rsidR="00612B1F" w:rsidRPr="00612B1F" w:rsidRDefault="00612B1F" w:rsidP="00612B1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tabs>
          <w:tab w:val="left" w:pos="9214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DÉCIMA PRIMEIRA – DA VIGÊNCIA E DA EXECUÇÃO DOS SERVIÇOS</w:t>
      </w:r>
    </w:p>
    <w:p w:rsidR="00612B1F" w:rsidRPr="00612B1F" w:rsidRDefault="00612B1F" w:rsidP="00612B1F">
      <w:pPr>
        <w:tabs>
          <w:tab w:val="left" w:pos="708"/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11.1. O prazo de vigência da contratação é de 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.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.............................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, com início na data 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.........../......../........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e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encerramento </w:t>
      </w:r>
      <w:proofErr w:type="spell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em</w:t>
      </w:r>
      <w:proofErr w:type="spell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612B1F">
        <w:rPr>
          <w:rFonts w:ascii="Arial" w:eastAsia="Times New Roman" w:hAnsi="Arial" w:cs="Arial"/>
          <w:sz w:val="20"/>
          <w:szCs w:val="20"/>
          <w:highlight w:val="yellow"/>
          <w:lang w:eastAsia="pt-BR"/>
        </w:rPr>
        <w:t>.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........../........./..........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>, e somente poderá ser prorrogado nos termos do artigo 57, § 1º, da Lei n. 8.666, de 1993.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11.2. A execução dos serviços será r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ealizada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em </w:t>
      </w:r>
      <w:r w:rsidRPr="00612B1F">
        <w:rPr>
          <w:rFonts w:ascii="Arial" w:eastAsia="Times New Roman" w:hAnsi="Arial" w:cs="Arial"/>
          <w:sz w:val="20"/>
          <w:szCs w:val="20"/>
          <w:highlight w:val="yellow"/>
          <w:lang w:eastAsia="pt-BR"/>
        </w:rPr>
        <w:t xml:space="preserve">.......................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(</w:t>
      </w:r>
      <w:proofErr w:type="gramStart"/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indicar</w:t>
      </w:r>
      <w:proofErr w:type="gramEnd"/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 xml:space="preserve"> a data do evento/realização da apresentação artística)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,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conforme o cronograma fixado no Termo de Referência.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11.3. A prorrogação dos prazos de execução e vigência do contrato será precedida da correspondente adequação do cronograma físico-financeiro, bem como de justificativa e autorização da autoridade competente para a celebração do ajuste, devendo ser formalizada nos autos do processo administrativo.</w:t>
      </w: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color w:val="FF0000"/>
          <w:sz w:val="20"/>
          <w:szCs w:val="20"/>
          <w:u w:val="single"/>
          <w:lang w:eastAsia="pt-BR"/>
        </w:rPr>
      </w:pP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Nota explicativa: 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>O prazo de vigência da contratação deve ficar adstrito à vigência do respectivo crédito orçamentário, nos termos do artigo 57, caput, da Lei n° 8.666, de 1993. O prazo de vigência deve englobar, além do prazo de execução, o tempo necessário para o cumprimento das demais obrigações contratuais, notadamente o recebimento do objeto e o pagamento pela Administração.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48"/>
        <w:jc w:val="both"/>
        <w:rPr>
          <w:rFonts w:ascii="Arial" w:eastAsia="Times New Roman" w:hAnsi="Arial" w:cs="Arial"/>
          <w:color w:val="FF0000"/>
          <w:sz w:val="20"/>
          <w:szCs w:val="20"/>
          <w:u w:val="single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16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DÉCIMA SEGUNDA – DA GESTÃO DO CONTRATO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12.1. As regras de gestão do contrato e de acompanhamento e fiscalização da prestação do serviço são aquelas previstas no 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item .... </w:t>
      </w:r>
      <w:proofErr w:type="gramStart"/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do</w:t>
      </w:r>
      <w:proofErr w:type="gramEnd"/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Termo de Referência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612B1F" w:rsidRPr="00612B1F" w:rsidRDefault="00612B1F" w:rsidP="00612B1F">
      <w:pPr>
        <w:tabs>
          <w:tab w:val="left" w:pos="93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tabs>
          <w:tab w:val="left" w:pos="93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16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DÉCIMA TERCEIRA - DAS SANÇÕES ADMINISTRATIVAS</w:t>
      </w:r>
    </w:p>
    <w:p w:rsidR="00612B1F" w:rsidRPr="00612B1F" w:rsidRDefault="00612B1F" w:rsidP="00612B1F">
      <w:pPr>
        <w:tabs>
          <w:tab w:val="left" w:pos="9356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lastRenderedPageBreak/>
        <w:t xml:space="preserve">13.1. Com fundamento nos artigos 86 e 87, incisos I a IV, da Lei </w:t>
      </w:r>
      <w:proofErr w:type="spell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n.</w:t>
      </w:r>
      <w:r w:rsidRPr="00612B1F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o</w:t>
      </w:r>
      <w:proofErr w:type="spellEnd"/>
      <w:r w:rsidRPr="00612B1F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 xml:space="preserve"> 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8.666, de 1993, nos casos de retardamento, de falha na execução do contrato ou de inexecução total do objeto </w:t>
      </w: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a Contratada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poderá ser apenada, isoladamente ou juntamente com as multas definidas nos itens 13.2., 13.3 e 13.4., com as seguintes penalidades: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numPr>
          <w:ilvl w:val="0"/>
          <w:numId w:val="2"/>
        </w:num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advertência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>;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numPr>
          <w:ilvl w:val="0"/>
          <w:numId w:val="2"/>
        </w:num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suspensão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temporária de participação em licitação e impedimento de contratar com a Administração Pública Estadual, por prazo não superior a dois anos;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numPr>
          <w:ilvl w:val="0"/>
          <w:numId w:val="2"/>
        </w:num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declaração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de inidoneidade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na alínea anterior; ou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13.2. No caso de inexecução total ou parcial do objeto, a contratada estará sujeita à aplicação de multa de até 10% (dez por centro) do valor do contrato.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13.3. Em caso de subcontratação não autorizada, será aplicada multa de até 10% (dez por cento) do valor do contrato. A reincidência por uma vez de subcontratação não autorizada configurará inexecução parcial do contrato e ensejará a aplicação de multa de 20% (vinte por cento) do valor do contrato, sem prejuízo da rescisão unilateral da avença.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13.4. Por infração a qualquer outra cláusula do Contrato e os documentos listados no item 4.1.1, não prevista nos subitens anteriores, poderão ser aplicadas, isolada ou cumulativamente com outras sanções, inclusive a rescisão contratual, se for o caso: 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Cs/>
          <w:sz w:val="20"/>
          <w:szCs w:val="20"/>
          <w:lang w:eastAsia="pt-BR"/>
        </w:rPr>
        <w:t>I -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advertência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>, no caso de infrações leves;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Cs/>
          <w:sz w:val="20"/>
          <w:szCs w:val="20"/>
          <w:lang w:eastAsia="pt-BR"/>
        </w:rPr>
        <w:t>II -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multa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de até 10% (dez por cento) sobre o valor do contrato, se a infração for ao contrato.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13.5. As penalidades serão aplicadas após regular processo administrativo, em que seja assegurado à Contratada o contraditório e a ampla defesa, com os meios e recursos que lhes são inerentes.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13.6. Quaisquer multas aplicadas deverão ser recolhidas junto ao órgão competente no prazo de até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 xml:space="preserve">....... (........) </w:t>
      </w:r>
      <w:proofErr w:type="gramStart"/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dias</w:t>
      </w:r>
      <w:proofErr w:type="gramEnd"/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 xml:space="preserve"> úteis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,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contados de sua publicação no Diário Oficial do Estado de Mato Grosso do Sul, podendo, ainda, ser descontadas de qualquer fatura ou crédito existente, a critério da Contratada.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13.7. As multas devidas e/ou prejuízos causados à Contratante serão deduzidos da garantia.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13.7.1. Na hipótese de inexistência de garantia ou sendo essa insuficiente para solver as multas devidas e/ou prejuízos causados à Contratante, a Administração deduzirá dos valores a serem pagos à contratada ou, quando for o caso, inscreverá na Dívida Ativa do Estado e cobrará judicialmente.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13.8. A aplicação das sanções previstas nos itens 13.1 a 13.4 não excluem a possibilidade de aplicação de outras constantes da legislação que rege o tema, inclusive a responsabilização da Contratada por eventuais perdas e danos causados à Administração Pública.</w:t>
      </w: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ind w:right="1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13.9. As penalidades enumeradas nas alíneas “b” e “c” do subitem 13.1 deverão ser registradas no Cadastro Nacional de Empresas Inidôneas e Suspensas (CEIS) e no Cadastro Nacional de Empresas Punidas (CNEP).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12B1F">
        <w:rPr>
          <w:rFonts w:ascii="Arial" w:eastAsia="Calibri" w:hAnsi="Arial" w:cs="Arial"/>
          <w:b/>
          <w:sz w:val="20"/>
          <w:szCs w:val="20"/>
        </w:rPr>
        <w:lastRenderedPageBreak/>
        <w:t>Orientações práticas: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12B1F">
        <w:rPr>
          <w:rFonts w:ascii="Arial" w:eastAsia="Calibri" w:hAnsi="Arial" w:cs="Arial"/>
          <w:sz w:val="20"/>
          <w:szCs w:val="20"/>
        </w:rPr>
        <w:t>A Administração poderá inserir outras</w:t>
      </w: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 </w:t>
      </w:r>
      <w:r w:rsidRPr="00612B1F">
        <w:rPr>
          <w:rFonts w:ascii="Arial" w:eastAsia="Calibri" w:hAnsi="Arial" w:cs="Arial"/>
          <w:sz w:val="20"/>
          <w:szCs w:val="20"/>
        </w:rPr>
        <w:t>sanções específicas referentes ao descumprimento das cláusulas.</w:t>
      </w: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12B1F">
        <w:rPr>
          <w:rFonts w:ascii="Arial" w:eastAsia="Calibri" w:hAnsi="Arial" w:cs="Arial"/>
          <w:sz w:val="20"/>
          <w:szCs w:val="20"/>
        </w:rPr>
        <w:t>Assim, c</w:t>
      </w:r>
      <w:r w:rsidRPr="00612B1F">
        <w:rPr>
          <w:rFonts w:ascii="Arial" w:eastAsia="Calibri" w:hAnsi="Arial" w:cs="Arial"/>
          <w:bCs/>
          <w:sz w:val="20"/>
          <w:szCs w:val="20"/>
        </w:rPr>
        <w:t xml:space="preserve">aso a equipe de planejamento identifique a necessidade de incluir especificidades sobre temas que não se encontrem descritas na minuta-padrão do contrato, deverá incluir subitens, submetendo à análise jurídica do órgão competente, </w:t>
      </w:r>
      <w:r w:rsidRPr="00612B1F">
        <w:rPr>
          <w:rFonts w:ascii="Arial" w:eastAsia="Calibri" w:hAnsi="Arial" w:cs="Arial"/>
          <w:sz w:val="20"/>
          <w:szCs w:val="20"/>
        </w:rPr>
        <w:t xml:space="preserve">em caso de dúvida </w:t>
      </w:r>
      <w:r w:rsidRPr="00612B1F">
        <w:rPr>
          <w:rFonts w:ascii="Arial" w:eastAsia="Calibri" w:hAnsi="Arial" w:cs="Arial"/>
          <w:sz w:val="20"/>
          <w:szCs w:val="20"/>
          <w:u w:val="single"/>
        </w:rPr>
        <w:t>jurídica</w:t>
      </w:r>
      <w:r w:rsidRPr="00612B1F">
        <w:rPr>
          <w:rFonts w:ascii="Arial" w:eastAsia="Calibri" w:hAnsi="Arial" w:cs="Arial"/>
          <w:sz w:val="20"/>
          <w:szCs w:val="20"/>
        </w:rPr>
        <w:t>.</w:t>
      </w:r>
    </w:p>
    <w:p w:rsidR="00612B1F" w:rsidRPr="00612B1F" w:rsidRDefault="00612B1F" w:rsidP="00612B1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12B1F" w:rsidRPr="00612B1F" w:rsidRDefault="00612B1F" w:rsidP="00612B1F">
      <w:pPr>
        <w:keepNext/>
        <w:keepLines/>
        <w:spacing w:before="40" w:after="0" w:line="240" w:lineRule="auto"/>
        <w:jc w:val="both"/>
        <w:outlineLvl w:val="3"/>
        <w:rPr>
          <w:rFonts w:ascii="Arial" w:eastAsia="Times New Roman" w:hAnsi="Arial" w:cs="Arial"/>
          <w:b/>
          <w:iCs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iCs/>
          <w:sz w:val="20"/>
          <w:szCs w:val="20"/>
          <w:lang w:eastAsia="pt-BR"/>
        </w:rPr>
        <w:t>CLÁUSULA DÉCIMA QUARTA - DA RESCISÃO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14.1. O presente Termo de Contrato poderá ser rescindido: 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14.1.1. </w:t>
      </w: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por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ato unilateral e escrito da Administração, nas situações previstas nos incisos I a XII e XVII do art. 78 da Lei nº 8.666, de 1993, e com as consequências indicadas no art. 80 da mesma Lei, sem prejuízo da aplicação das sanções previstas no item 13; e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14.1.2. </w:t>
      </w: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amigavelmente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>, nos termos do art. 79, inciso II, da Lei nº 8.666/1993.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14.2. Os casos de rescisão contratual serão formalmente motivados, assegurando-se à Contratada o direito ao prévio contraditório e ampla defesa.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14.3. A Contratada reconhece os direitos da Contratante em caso de rescisão administrativa prevista no art. 77 da Lei n. 8.666/1993.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14.4. 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 rescisão acarretará, independentemente de qualquer procedimento judicial ou extrajudicial por parte da Contratante, a retenção dos créditos decorrentes deste contrato, limitada ao valor dos prejuízos causados, além das sanções previstas no item 13, até a completa indenização dos danos.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14.5. 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Fica expressamente acordado que, em caso de rescisão, nenhuma remuneração será cabível, a não ser o ressarcimento de despesas autorizadas pela Contratante e comprovadamente realizadas pela Contratada, previstas no presente Contrato.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14.6. O termo de rescisão será precedido de relatório indicativo dos seguintes aspectos, conforme o caso: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14.6.1. Balanço dos eventos contratuais já cumpridos ou parcialmente cumpridos;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14.6.2. Relação dos pagamentos já efetuados e ainda devidos; e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14.6.3. Indenizações e multas.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keepNext/>
        <w:keepLines/>
        <w:spacing w:before="40" w:after="0" w:line="240" w:lineRule="auto"/>
        <w:jc w:val="both"/>
        <w:outlineLvl w:val="3"/>
        <w:rPr>
          <w:rFonts w:ascii="Arial" w:eastAsia="Times New Roman" w:hAnsi="Arial" w:cs="Arial"/>
          <w:b/>
          <w:iCs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iCs/>
          <w:sz w:val="20"/>
          <w:szCs w:val="20"/>
          <w:lang w:eastAsia="pt-BR"/>
        </w:rPr>
        <w:t>CLÁUSULA DÉCIMA QUINTA – DA NOVAÇÃO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15.1. A não utilização, por qualquer das partes, dos direitos a elas assegurados neste contrato e na Lei em geral e a não aplicação de quaisquer sanções neles previstas não importa em novação a seus termos, não devendo, portanto, ser interpretada como renúncia ou desistência de aplicação ou de ações futuras, sendo que todos os recursos postos à disposição da Contratante serão considerados como cumulativos e não alternativos, inclusive em relação a dispositivos legais.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CLÁUSULA DÉCIMA SEXTA – DA FRAUDE E DA CORRUPÇÃO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16.1. 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 Contratada deve observar e fazer observar, por seus prestadores e subcontratados, se admitida subcontratação, o mais alto padrão de ética durante todo o processo de contratação e de execução do objeto contratual.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16.1.1. Para os propósitos 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>do subitem 16.1, definem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-se as seguintes práticas: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“</w:t>
      </w:r>
      <w:proofErr w:type="gram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prática</w:t>
      </w:r>
      <w:proofErr w:type="gram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corrupta”: oferecer, dar, receber ou solicitar, direta ou indiretamente, qualquer vantagem com o objetivo de influenciar a ação de servidor público no processo de licitação ou na execução de contrato;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“</w:t>
      </w:r>
      <w:proofErr w:type="gram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prática</w:t>
      </w:r>
      <w:proofErr w:type="gram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fraudulenta”: a falsificação ou omissão dos fatos, com o objetivo de influenciar o processo de licitação ou de execução de contrato;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“</w:t>
      </w:r>
      <w:proofErr w:type="gram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prática</w:t>
      </w:r>
      <w:proofErr w:type="gram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conluiada”: esquematizar ou estabelecer um acordo entre dois ou mais licitantes, com ou sem o conhecimento de representantes ou prepostos do órgão licitador, visando estabelecer preços em níveis artificiais e não-competitivos;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“</w:t>
      </w:r>
      <w:proofErr w:type="gram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prática</w:t>
      </w:r>
      <w:proofErr w:type="gram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coercitiva”: causar </w:t>
      </w:r>
      <w:proofErr w:type="spell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dano</w:t>
      </w:r>
      <w:proofErr w:type="spell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ou ameaçar causar dano, direta ou indiretamente, às pessoas ou sua propriedade, visando influenciar sua participação em um processo licitatório ou afetar a execução do contrato; e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“</w:t>
      </w:r>
      <w:proofErr w:type="gram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prática</w:t>
      </w:r>
      <w:proofErr w:type="gram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obstrutiva”: (i) destruir, falsificar, alterar ou ocultar provas em inspeções ou fazer declarações falsas aos representantes do organismo financeiro multilateral, com o objetivo de impedir materialmente a apuração de alegações de prática prevista acima; e (</w:t>
      </w:r>
      <w:proofErr w:type="spell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ii</w:t>
      </w:r>
      <w:proofErr w:type="spell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) atos cuja intenção seja impedir materialmente o exercício do direito de o organismo financeiro multilateral promover inspeção.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16.1.2. Na hipótese de financiamento, parcial ou integral, por organismo financeiro multilateral, mediante adiantamento ou reembolso, este organismo imporá sanção sobre uma empresa ou pessoa física, inclusive declarando-a inidônea, indefinidamente ou por prazo determinado, para a outorga de contratos financiados pelo organismo se, em qualquer momento, constatar o envolvimento da empresa, diretamente ou por meio de um agente, em práticas corruptas, fraudulentas, </w:t>
      </w:r>
      <w:proofErr w:type="spellStart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colusivas</w:t>
      </w:r>
      <w:proofErr w:type="spellEnd"/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, coercitivas ou obstrutivas ao participar da licitação ou da execução de um contrato financiado pelo organismo.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16.1.3. Considerando os propósitos dos subitens acima, a Contratada concorda e autoriza que, na hipótese de o contrato vir a ser financiado, em parte ou integralmente, por organismo financeiro multilateral, mediante adiantamento ou reembolso, o organismo financeiro e/ou pessoas por ele formalmente indicadas possam inspecionar o local de execução do contrato e todos os documentos, contas e registros relacionados à licitação e à execução do contrato.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DÉCIMA SÉTIMA - DAS ALTERAÇÕES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17.1. Eventuais alterações contratuais reger-se-ão pela disciplina do art. 65 da Lei nº 8.666/1993.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17.2. A Contratada é obrigada a aceitar, nas mesmas condições contratuais, os acréscimos ou supressões que se fizerem necessários, até o limite de 25% (vinte e cinco por cento) do valor inicial atualizado do contrato.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17.3. As supressões resultantes de acordo celebrado entre as partes contratantes poderão exceder o limite de 25% (vinte e cinco por cento) do valor inicial atualizado do contrato.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Nota explicativa:</w:t>
      </w: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Somente é possível a realização de aditivo contratual, nos termos do art. 65, § 1º, da Lei n. 8.666/93, dentro do prazo de vigência do contrato de execução dos serviços e com a prévia indicação das justificativas da necessidade do acréscimo ou supressão.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DÉCIMA OITAVA – DOS CASOS OMISSOS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lastRenderedPageBreak/>
        <w:t>18.1. Os casos omissos serão decididos pela Contratante, segundo as disposições contidas na Lei n. 8.666/1993 e demais normas de licitações e contratos administrativos e, subsidiariamente, segundo as disposições contidas na Lei nº 8.078/1990 e normas e princípios gerais dos contratos.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Nota explicativa: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No Acórdão n. 2569/2018-P, o TCU concluiu que “ </w:t>
      </w:r>
      <w:r w:rsidRPr="00612B1F">
        <w:rPr>
          <w:rFonts w:ascii="Arial" w:eastAsia="Times New Roman" w:hAnsi="Arial" w:cs="Arial"/>
          <w:i/>
          <w:sz w:val="20"/>
          <w:szCs w:val="20"/>
          <w:lang w:eastAsia="pt-BR"/>
        </w:rPr>
        <w:t>A Administração Pública pode invocar a Lei 8.078/1990 (CDC) na condição de destinatária final de bens e serviços, quando suas prerrogativas estabelecidas na legislação de licitações e contratos forem insuficientes para garantir a proteção mínima dos interesses da sociedade [...]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>”. (</w:t>
      </w: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cf.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Boletim de Jurisprudência n.º 244, sessões 6 e 7 de novembro de 2018).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DÉCIMA NONA - DA PUBLICAÇÃO DO EXTRATO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19.1. A publicação do presente instrumento, em extrato, no Diário Oficial do Estado de Mato Grosso do Sul, ficará a cargo da Contratante, no prazo e forma dispostos pela legislação pertinente.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16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16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b/>
          <w:sz w:val="20"/>
          <w:szCs w:val="20"/>
          <w:lang w:eastAsia="pt-BR"/>
        </w:rPr>
        <w:t>CLÁUSULA VIGÉSIMA – DO FORO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20.1. Os contratantes comprometem-se a submeter eventuais controvérsias, decorrentes do presente Contrato, à conciliação que será promovida pela Procuradoria-Geral do Estado de Mato Grosso do Sul, </w:t>
      </w:r>
      <w:r w:rsidR="00850E62">
        <w:rPr>
          <w:rFonts w:ascii="Arial" w:eastAsia="Arial" w:hAnsi="Arial" w:cs="Arial"/>
          <w:color w:val="000000"/>
          <w:sz w:val="20"/>
          <w:szCs w:val="20"/>
        </w:rPr>
        <w:t>nos termos da Resolução PGE n. 362, de 26 de janeiro de 2022.</w:t>
      </w: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612B1F" w:rsidRPr="00612B1F" w:rsidRDefault="00612B1F" w:rsidP="00612B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20.1.1. Não logrando êxito a conciliação, fica eleito o foro da Comarca de Campo Grande, Estado de Mato Grosso do Sul, para dirimir as questões oriundas do presente Contrato, sendo este o competente para a propositura de qualquer medida judicial decorrente deste instrumento contratual, com a exclusão de qualquer outro, por mais privilegiado que seja. 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E, por estarem justos e acordados, assinam o presente contrato </w:t>
      </w:r>
      <w:proofErr w:type="spell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em</w:t>
      </w:r>
      <w:proofErr w:type="spell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 xml:space="preserve">........ (.......) </w:t>
      </w:r>
      <w:proofErr w:type="gramStart"/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vias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 de igual teor e forma, juntamente com as testemunhas abaixo, de tudo cientes, para que produzam seus efeitos legais e jurídicos.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Campo Grande - </w:t>
      </w:r>
      <w:proofErr w:type="gramStart"/>
      <w:r w:rsidRPr="00612B1F">
        <w:rPr>
          <w:rFonts w:ascii="Arial" w:eastAsia="Times New Roman" w:hAnsi="Arial" w:cs="Arial"/>
          <w:sz w:val="20"/>
          <w:szCs w:val="20"/>
          <w:lang w:eastAsia="pt-BR"/>
        </w:rPr>
        <w:t>MS,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...................</w:t>
      </w:r>
      <w:proofErr w:type="gramEnd"/>
      <w:r w:rsidRPr="00612B1F">
        <w:rPr>
          <w:rFonts w:ascii="Arial" w:eastAsia="Times New Roman" w:hAnsi="Arial" w:cs="Arial"/>
          <w:sz w:val="20"/>
          <w:szCs w:val="20"/>
          <w:lang w:eastAsia="pt-BR"/>
        </w:rPr>
        <w:t>de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........................</w:t>
      </w:r>
      <w:r w:rsidRPr="00612B1F">
        <w:rPr>
          <w:rFonts w:ascii="Arial" w:eastAsia="Times New Roman" w:hAnsi="Arial" w:cs="Arial"/>
          <w:sz w:val="20"/>
          <w:szCs w:val="20"/>
          <w:lang w:eastAsia="pt-BR"/>
        </w:rPr>
        <w:t xml:space="preserve">de </w:t>
      </w:r>
      <w:r w:rsidRPr="00612B1F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pt-BR"/>
        </w:rPr>
        <w:t>20.....</w:t>
      </w: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t-BR"/>
        </w:rPr>
      </w:pPr>
    </w:p>
    <w:p w:rsidR="00612B1F" w:rsidRPr="00612B1F" w:rsidRDefault="00612B1F" w:rsidP="00612B1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t-BR"/>
        </w:rPr>
      </w:pPr>
    </w:p>
    <w:p w:rsidR="00612B1F" w:rsidRPr="00612B1F" w:rsidRDefault="00612B1F" w:rsidP="00612B1F">
      <w:pPr>
        <w:widowControl w:val="0"/>
        <w:tabs>
          <w:tab w:val="left" w:pos="1418"/>
          <w:tab w:val="left" w:pos="3261"/>
          <w:tab w:val="left" w:pos="6521"/>
          <w:tab w:val="left" w:pos="6946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sz w:val="20"/>
          <w:szCs w:val="20"/>
          <w:lang w:eastAsia="pt-BR"/>
        </w:rPr>
        <w:t>Assinaturas</w:t>
      </w:r>
    </w:p>
    <w:p w:rsidR="00612B1F" w:rsidRPr="00612B1F" w:rsidRDefault="00612B1F" w:rsidP="00612B1F">
      <w:pPr>
        <w:widowControl w:val="0"/>
        <w:tabs>
          <w:tab w:val="left" w:pos="1418"/>
          <w:tab w:val="left" w:pos="3261"/>
          <w:tab w:val="left" w:pos="6521"/>
          <w:tab w:val="left" w:pos="6946"/>
        </w:tabs>
        <w:spacing w:after="0" w:line="240" w:lineRule="auto"/>
        <w:jc w:val="center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612B1F">
        <w:rPr>
          <w:rFonts w:ascii="Arial" w:eastAsia="Times New Roman" w:hAnsi="Arial" w:cs="Arial"/>
          <w:color w:val="FF0000"/>
          <w:sz w:val="20"/>
          <w:szCs w:val="20"/>
          <w:lang w:eastAsia="pt-BR"/>
        </w:rPr>
        <w:t xml:space="preserve">Representante da contratante, representante da contratada e testemunhas </w:t>
      </w:r>
    </w:p>
    <w:p w:rsidR="00612B1F" w:rsidRDefault="00612B1F"/>
    <w:sectPr w:rsidR="00612B1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B1F" w:rsidRDefault="00612B1F" w:rsidP="00612B1F">
      <w:pPr>
        <w:spacing w:after="0" w:line="240" w:lineRule="auto"/>
      </w:pPr>
      <w:r>
        <w:separator/>
      </w:r>
    </w:p>
  </w:endnote>
  <w:endnote w:type="continuationSeparator" w:id="0">
    <w:p w:rsidR="00612B1F" w:rsidRDefault="00612B1F" w:rsidP="00612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C7" w:rsidRPr="00410BC7" w:rsidRDefault="00410BC7" w:rsidP="00410BC7">
    <w:pPr>
      <w:pStyle w:val="Rodap"/>
      <w:tabs>
        <w:tab w:val="left" w:pos="709"/>
      </w:tabs>
      <w:ind w:right="360"/>
      <w:rPr>
        <w:rFonts w:ascii="Calibri" w:hAnsi="Calibri" w:cs="Calibri"/>
        <w:b/>
        <w:sz w:val="18"/>
        <w:szCs w:val="18"/>
      </w:rPr>
    </w:pPr>
    <w:r w:rsidRPr="00410BC7">
      <w:rPr>
        <w:rFonts w:ascii="Calibri" w:hAnsi="Calibri" w:cs="Calibri"/>
        <w:sz w:val="18"/>
        <w:szCs w:val="18"/>
      </w:rPr>
      <w:t>Parque dos Poderes – Bloco IV        |        Campo Grande – MS        |      CEP 79.031-310</w:t>
    </w:r>
  </w:p>
  <w:p w:rsidR="00410BC7" w:rsidRDefault="00410BC7" w:rsidP="00410BC7">
    <w:pPr>
      <w:pStyle w:val="Rodap"/>
    </w:pPr>
    <w:r w:rsidRPr="00410BC7">
      <w:rPr>
        <w:rFonts w:ascii="Calibri" w:hAnsi="Calibri" w:cs="Calibri"/>
        <w:sz w:val="18"/>
        <w:szCs w:val="18"/>
      </w:rPr>
      <w:t xml:space="preserve"> www.pge.ms.gov.br</w:t>
    </w:r>
    <w:r w:rsidRPr="00614281">
      <w:rPr>
        <w:rFonts w:ascii="Calibri" w:hAnsi="Calibri" w:cs="Calibri"/>
      </w:rPr>
      <w:t xml:space="preserve">    </w:t>
    </w:r>
    <w:r w:rsidRPr="00614281">
      <w:rPr>
        <w:rFonts w:ascii="Calibri" w:hAnsi="Calibri" w:cs="Calibri"/>
      </w:rPr>
      <w:tab/>
      <w:t xml:space="preserve"> </w:t>
    </w:r>
    <w:r w:rsidRPr="00614281">
      <w:rPr>
        <w:rFonts w:ascii="Calibri" w:hAnsi="Calibri" w:cs="Calibri"/>
      </w:rPr>
      <w:tab/>
    </w:r>
    <w:r>
      <w:rPr>
        <w:rFonts w:ascii="Calibri" w:hAnsi="Calibri" w:cs="Calibri"/>
      </w:rPr>
      <w:t xml:space="preserve">     </w:t>
    </w:r>
    <w:r w:rsidRPr="00614281">
      <w:rPr>
        <w:rFonts w:ascii="Calibri" w:hAnsi="Calibri" w:cs="Calibri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B1F" w:rsidRDefault="00612B1F" w:rsidP="00612B1F">
      <w:pPr>
        <w:spacing w:after="0" w:line="240" w:lineRule="auto"/>
      </w:pPr>
      <w:r>
        <w:separator/>
      </w:r>
    </w:p>
  </w:footnote>
  <w:footnote w:type="continuationSeparator" w:id="0">
    <w:p w:rsidR="00612B1F" w:rsidRDefault="00612B1F" w:rsidP="00612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612B1F" w:rsidRPr="00612B1F" w:rsidTr="00663FEC">
      <w:tc>
        <w:tcPr>
          <w:tcW w:w="3369" w:type="dxa"/>
          <w:shd w:val="clear" w:color="auto" w:fill="auto"/>
        </w:tcPr>
        <w:p w:rsidR="00612B1F" w:rsidRPr="00612B1F" w:rsidRDefault="00612B1F" w:rsidP="00612B1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Bookman Old Style" w:eastAsia="Times New Roman" w:hAnsi="Bookman Old Style" w:cs="Times New Roman"/>
              <w:bCs/>
              <w:sz w:val="26"/>
              <w:szCs w:val="20"/>
              <w:lang w:eastAsia="pt-BR"/>
            </w:rPr>
          </w:pPr>
          <w:r w:rsidRPr="00612B1F">
            <w:rPr>
              <w:rFonts w:ascii="Bookman Old Style" w:eastAsia="Times New Roman" w:hAnsi="Bookman Old Style" w:cs="Times New Roman"/>
              <w:bCs/>
              <w:noProof/>
              <w:sz w:val="26"/>
              <w:szCs w:val="20"/>
              <w:lang w:eastAsia="pt-BR"/>
            </w:rPr>
            <w:drawing>
              <wp:inline distT="0" distB="0" distL="0" distR="0" wp14:anchorId="5845F6A7" wp14:editId="0F144C26">
                <wp:extent cx="1905000" cy="556260"/>
                <wp:effectExtent l="0" t="0" r="0" b="0"/>
                <wp:docPr id="1" name="Imagem 1" descr="monocromia_positiv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nocromia_positiv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:rsidR="00612B1F" w:rsidRPr="00612B1F" w:rsidRDefault="00612B1F" w:rsidP="00612B1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 Light" w:eastAsia="Times New Roman" w:hAnsi="Calibri Light" w:cs="Calibri Light"/>
              <w:b/>
              <w:bCs/>
              <w:sz w:val="24"/>
              <w:szCs w:val="24"/>
              <w:lang w:eastAsia="pt-BR"/>
            </w:rPr>
          </w:pPr>
          <w:r w:rsidRPr="00612B1F">
            <w:rPr>
              <w:rFonts w:ascii="Calibri Light" w:eastAsia="Times New Roman" w:hAnsi="Calibri Light" w:cs="Calibri Light"/>
              <w:b/>
              <w:bCs/>
              <w:sz w:val="24"/>
              <w:szCs w:val="24"/>
              <w:lang w:eastAsia="pt-BR"/>
            </w:rPr>
            <w:t>PAA</w:t>
          </w:r>
        </w:p>
        <w:p w:rsidR="00612B1F" w:rsidRPr="00612B1F" w:rsidRDefault="00612B1F" w:rsidP="00612B1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 Light" w:eastAsia="Times New Roman" w:hAnsi="Calibri Light" w:cs="Calibri Light"/>
              <w:bCs/>
              <w:sz w:val="24"/>
              <w:szCs w:val="24"/>
              <w:lang w:eastAsia="pt-BR"/>
            </w:rPr>
          </w:pPr>
          <w:r w:rsidRPr="00612B1F">
            <w:rPr>
              <w:rFonts w:ascii="Calibri Light" w:eastAsia="Times New Roman" w:hAnsi="Calibri Light" w:cs="Calibri Light"/>
              <w:bCs/>
              <w:sz w:val="24"/>
              <w:szCs w:val="24"/>
              <w:lang w:eastAsia="pt-BR"/>
            </w:rPr>
            <w:t>Procuradoria de Assuntos Administrativos</w:t>
          </w:r>
        </w:p>
      </w:tc>
    </w:tr>
  </w:tbl>
  <w:p w:rsidR="00612B1F" w:rsidRDefault="00612B1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C68D3"/>
    <w:multiLevelType w:val="hybridMultilevel"/>
    <w:tmpl w:val="3C6C7246"/>
    <w:lvl w:ilvl="0" w:tplc="7C94965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 w:val="0"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083CB4"/>
    <w:multiLevelType w:val="multilevel"/>
    <w:tmpl w:val="58089C8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3F87716F"/>
    <w:multiLevelType w:val="hybridMultilevel"/>
    <w:tmpl w:val="D208FD70"/>
    <w:lvl w:ilvl="0" w:tplc="61FA14A2">
      <w:start w:val="1"/>
      <w:numFmt w:val="lowerLetter"/>
      <w:lvlText w:val="%1)"/>
      <w:lvlJc w:val="left"/>
      <w:pPr>
        <w:ind w:left="2135"/>
      </w:pPr>
      <w:rPr>
        <w:rFonts w:ascii="Arial" w:eastAsia="Times New Roman" w:hAnsi="Arial" w:cs="Arial" w:hint="default"/>
        <w:b w:val="0"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105726">
      <w:start w:val="1"/>
      <w:numFmt w:val="lowerLetter"/>
      <w:lvlText w:val="%2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945F4E">
      <w:start w:val="1"/>
      <w:numFmt w:val="lowerRoman"/>
      <w:lvlText w:val="%3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A44B2E">
      <w:start w:val="1"/>
      <w:numFmt w:val="decimal"/>
      <w:lvlText w:val="%4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5E01B2">
      <w:start w:val="1"/>
      <w:numFmt w:val="lowerLetter"/>
      <w:lvlText w:val="%5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DAF2B2">
      <w:start w:val="1"/>
      <w:numFmt w:val="lowerRoman"/>
      <w:lvlText w:val="%6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66F902">
      <w:start w:val="1"/>
      <w:numFmt w:val="decimal"/>
      <w:lvlText w:val="%7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FEBBD0">
      <w:start w:val="1"/>
      <w:numFmt w:val="lowerLetter"/>
      <w:lvlText w:val="%8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6EB118">
      <w:start w:val="1"/>
      <w:numFmt w:val="lowerRoman"/>
      <w:lvlText w:val="%9"/>
      <w:lvlJc w:val="left"/>
      <w:pPr>
        <w:ind w:left="6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24A"/>
    <w:rsid w:val="00410BC7"/>
    <w:rsid w:val="00612B1F"/>
    <w:rsid w:val="00801807"/>
    <w:rsid w:val="00850E62"/>
    <w:rsid w:val="00CE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4FFA7-7570-41ED-BA06-96163BC1D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2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2B1F"/>
  </w:style>
  <w:style w:type="paragraph" w:styleId="Rodap">
    <w:name w:val="footer"/>
    <w:basedOn w:val="Normal"/>
    <w:link w:val="RodapChar"/>
    <w:uiPriority w:val="99"/>
    <w:unhideWhenUsed/>
    <w:rsid w:val="00612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2B1F"/>
  </w:style>
  <w:style w:type="table" w:styleId="Tabelacomgrade">
    <w:name w:val="Table Grid"/>
    <w:basedOn w:val="Tabelanormal"/>
    <w:rsid w:val="00612B1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o">
    <w:name w:val="Identificação"/>
    <w:basedOn w:val="Normal"/>
    <w:rsid w:val="00410BC7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styleId="Nmerodepgina">
    <w:name w:val="page number"/>
    <w:basedOn w:val="Fontepargpadro"/>
    <w:semiHidden/>
    <w:rsid w:val="00410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4074</Words>
  <Characters>22002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da Silva Alves</dc:creator>
  <cp:keywords/>
  <dc:description/>
  <cp:lastModifiedBy>Vanessa da Silva Alves</cp:lastModifiedBy>
  <cp:revision>5</cp:revision>
  <dcterms:created xsi:type="dcterms:W3CDTF">2024-02-29T12:40:00Z</dcterms:created>
  <dcterms:modified xsi:type="dcterms:W3CDTF">2024-06-14T19:45:00Z</dcterms:modified>
</cp:coreProperties>
</file>