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
          <w:color w:val="806000"/>
          <w:sz w:val="26"/>
          <w:szCs w:val="26"/>
          <w:lang w:eastAsia="pt-BR"/>
        </w:rPr>
      </w:pPr>
      <w:r w:rsidRPr="00983F71">
        <w:rPr>
          <w:rFonts w:ascii="Arial" w:eastAsia="Times New Roman" w:hAnsi="Arial" w:cs="Arial"/>
          <w:b/>
          <w:sz w:val="26"/>
          <w:szCs w:val="26"/>
          <w:lang w:eastAsia="pt-BR"/>
        </w:rPr>
        <w:t xml:space="preserve">ESCLARECIMENTOS INICIAIS SOBRE A </w:t>
      </w:r>
      <w:r w:rsidRPr="00983F71">
        <w:rPr>
          <w:rFonts w:ascii="Arial" w:eastAsia="Times New Roman" w:hAnsi="Arial" w:cs="Arial"/>
          <w:b/>
          <w:color w:val="000000"/>
          <w:sz w:val="26"/>
          <w:szCs w:val="26"/>
          <w:lang w:eastAsia="pt-BR"/>
        </w:rPr>
        <w:t xml:space="preserve">MINUTA DO TERMO DE REFERÊNCIA </w:t>
      </w:r>
      <w:bookmarkStart w:id="0" w:name="_Hlk69377447"/>
      <w:r w:rsidRPr="00983F71">
        <w:rPr>
          <w:rFonts w:ascii="Arial" w:eastAsia="Times New Roman" w:hAnsi="Arial" w:cs="Arial"/>
          <w:b/>
          <w:color w:val="000000"/>
          <w:sz w:val="26"/>
          <w:szCs w:val="26"/>
          <w:lang w:eastAsia="pt-BR"/>
        </w:rPr>
        <w:t xml:space="preserve">PARA CONTRATAÇÃO DE PRESTAÇÃO DE SERVIÇO SEM DEDICAÇÃO DE MÃO DE </w:t>
      </w:r>
      <w:r w:rsidRPr="00983F71">
        <w:rPr>
          <w:rFonts w:ascii="Arial" w:eastAsia="Times New Roman" w:hAnsi="Arial" w:cs="Arial"/>
          <w:b/>
          <w:sz w:val="26"/>
          <w:szCs w:val="26"/>
          <w:lang w:eastAsia="pt-BR"/>
        </w:rPr>
        <w:t>OBRA</w:t>
      </w:r>
      <w:bookmarkEnd w:id="0"/>
      <w:r w:rsidRPr="00983F71">
        <w:rPr>
          <w:rFonts w:ascii="Arial" w:eastAsia="Times New Roman" w:hAnsi="Arial" w:cs="Arial"/>
          <w:b/>
          <w:sz w:val="26"/>
          <w:szCs w:val="26"/>
          <w:lang w:eastAsia="pt-BR"/>
        </w:rPr>
        <w:t xml:space="preserve"> EXCLUSIVA</w:t>
      </w:r>
      <w:r w:rsidRPr="00983F71">
        <w:rPr>
          <w:rFonts w:ascii="Arial" w:eastAsia="Times New Roman" w:hAnsi="Arial" w:cs="Arial"/>
          <w:b/>
          <w:color w:val="000000"/>
          <w:sz w:val="26"/>
          <w:szCs w:val="26"/>
          <w:lang w:eastAsia="pt-BR"/>
        </w:rPr>
        <w:t>.</w:t>
      </w: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r w:rsidRPr="00983F71">
        <w:rPr>
          <w:rFonts w:ascii="Arial" w:eastAsia="Times New Roman" w:hAnsi="Arial" w:cs="Arial"/>
          <w:sz w:val="26"/>
          <w:szCs w:val="26"/>
          <w:lang w:eastAsia="pt-BR"/>
        </w:rPr>
        <w:t xml:space="preserve">A minuta do termo de referência possui </w:t>
      </w:r>
      <w:r w:rsidRPr="00983F71">
        <w:rPr>
          <w:rFonts w:ascii="Arial" w:eastAsia="Times New Roman" w:hAnsi="Arial" w:cs="Arial"/>
          <w:color w:val="FF0000"/>
          <w:sz w:val="26"/>
          <w:szCs w:val="26"/>
          <w:lang w:eastAsia="pt-BR"/>
        </w:rPr>
        <w:t>textos em vermelho</w:t>
      </w:r>
      <w:r w:rsidRPr="00983F71">
        <w:rPr>
          <w:rFonts w:ascii="Arial" w:eastAsia="Times New Roman" w:hAnsi="Arial" w:cs="Arial"/>
          <w:sz w:val="26"/>
          <w:szCs w:val="26"/>
          <w:lang w:eastAsia="pt-BR"/>
        </w:rPr>
        <w:t xml:space="preserve"> e </w:t>
      </w:r>
      <w:r w:rsidRPr="00983F71">
        <w:rPr>
          <w:rFonts w:ascii="Arial" w:eastAsia="Times New Roman" w:hAnsi="Arial" w:cs="Arial"/>
          <w:color w:val="FF0000"/>
          <w:sz w:val="26"/>
          <w:szCs w:val="26"/>
          <w:highlight w:val="yellow"/>
          <w:lang w:eastAsia="pt-BR"/>
        </w:rPr>
        <w:t>realces de texto em amarelo</w:t>
      </w:r>
      <w:r w:rsidRPr="00983F71">
        <w:rPr>
          <w:rFonts w:ascii="Arial" w:eastAsia="Times New Roman" w:hAnsi="Arial" w:cs="Arial"/>
          <w:sz w:val="26"/>
          <w:szCs w:val="26"/>
          <w:lang w:eastAsia="pt-BR"/>
        </w:rPr>
        <w:t>. Nesses itens, deve o órgão ou entidade licitante ficar atento para a necessidade de preenchimento, supressão ou adequação, de acordo com o objeto da licitação e critério de oportunidade e conveniência da Administração.</w:t>
      </w: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r w:rsidRPr="00983F71">
        <w:rPr>
          <w:rFonts w:ascii="Arial" w:eastAsia="Times New Roman" w:hAnsi="Arial" w:cs="Arial"/>
          <w:sz w:val="26"/>
          <w:szCs w:val="26"/>
          <w:highlight w:val="cyan"/>
          <w:lang w:eastAsia="pt-BR"/>
        </w:rPr>
        <w:t>Os textos com realce em azul aplicam-se nos casos de licitação para registro de preços, devendo ser mantidos se for utilizado o sistema de registro de preços</w:t>
      </w:r>
      <w:r w:rsidRPr="00983F71">
        <w:rPr>
          <w:rFonts w:ascii="Arial" w:eastAsia="Times New Roman" w:hAnsi="Arial" w:cs="Arial"/>
          <w:sz w:val="26"/>
          <w:szCs w:val="26"/>
          <w:lang w:eastAsia="pt-BR"/>
        </w:rPr>
        <w:t>. Caso contrário, devem ser excluídas todas as disposições destacadas em azul.</w:t>
      </w:r>
      <w:bookmarkStart w:id="1" w:name="_GoBack"/>
      <w:bookmarkEnd w:id="1"/>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r w:rsidRPr="00983F71">
        <w:rPr>
          <w:rFonts w:ascii="Arial" w:eastAsia="Times New Roman" w:hAnsi="Arial" w:cs="Arial"/>
          <w:sz w:val="26"/>
          <w:szCs w:val="26"/>
          <w:lang w:eastAsia="pt-BR"/>
        </w:rPr>
        <w:t xml:space="preserve">Os </w:t>
      </w:r>
      <w:r w:rsidRPr="00983F71">
        <w:rPr>
          <w:rFonts w:ascii="Arial" w:eastAsia="Times New Roman" w:hAnsi="Arial" w:cs="Arial"/>
          <w:b/>
          <w:sz w:val="26"/>
          <w:szCs w:val="26"/>
          <w:lang w:eastAsia="pt-BR"/>
        </w:rPr>
        <w:t>textos sem destaque</w:t>
      </w:r>
      <w:r w:rsidRPr="00983F71">
        <w:rPr>
          <w:rFonts w:ascii="Arial" w:eastAsia="Times New Roman" w:hAnsi="Arial" w:cs="Arial"/>
          <w:sz w:val="26"/>
          <w:szCs w:val="26"/>
          <w:lang w:eastAsia="pt-BR"/>
        </w:rPr>
        <w:t xml:space="preserve"> são de </w:t>
      </w:r>
      <w:r w:rsidRPr="00983F71">
        <w:rPr>
          <w:rFonts w:ascii="Arial" w:eastAsia="Times New Roman" w:hAnsi="Arial" w:cs="Arial"/>
          <w:b/>
          <w:sz w:val="26"/>
          <w:szCs w:val="26"/>
          <w:lang w:eastAsia="pt-BR"/>
        </w:rPr>
        <w:t>observância obrigatória</w:t>
      </w:r>
      <w:r w:rsidRPr="00983F71">
        <w:rPr>
          <w:rFonts w:ascii="Arial" w:eastAsia="Times New Roman" w:hAnsi="Arial" w:cs="Arial"/>
          <w:sz w:val="26"/>
          <w:szCs w:val="26"/>
          <w:lang w:eastAsia="pt-BR"/>
        </w:rPr>
        <w:t xml:space="preserve"> em todos os termos de referência.</w:t>
      </w: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r w:rsidRPr="00983F71">
        <w:rPr>
          <w:rFonts w:ascii="Arial" w:eastAsia="Times New Roman" w:hAnsi="Arial" w:cs="Arial"/>
          <w:sz w:val="26"/>
          <w:szCs w:val="26"/>
          <w:lang w:eastAsia="pt-BR"/>
        </w:rPr>
        <w:t xml:space="preserve">Há inúmeras </w:t>
      </w:r>
      <w:r w:rsidRPr="00983F71">
        <w:rPr>
          <w:rFonts w:ascii="Arial" w:eastAsia="Times New Roman" w:hAnsi="Arial" w:cs="Arial"/>
          <w:b/>
          <w:sz w:val="26"/>
          <w:szCs w:val="26"/>
          <w:lang w:eastAsia="pt-BR"/>
        </w:rPr>
        <w:t>notas explicativas</w:t>
      </w:r>
      <w:r w:rsidRPr="00983F71">
        <w:rPr>
          <w:rFonts w:ascii="Arial" w:eastAsia="Times New Roman" w:hAnsi="Arial" w:cs="Arial"/>
          <w:sz w:val="26"/>
          <w:szCs w:val="26"/>
          <w:lang w:eastAsia="pt-BR"/>
        </w:rPr>
        <w:t xml:space="preserve"> no decorrer do texto que têm o objetivo de facilitar o entendimento e nortear os responsáveis pela elaboração do TR devendo ser retiradas do seu texto final.</w:t>
      </w: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r w:rsidRPr="00983F71">
        <w:rPr>
          <w:rFonts w:ascii="Arial" w:eastAsia="Times New Roman" w:hAnsi="Arial" w:cs="Arial"/>
          <w:sz w:val="26"/>
          <w:szCs w:val="26"/>
          <w:lang w:eastAsia="pt-BR"/>
        </w:rPr>
        <w:t xml:space="preserve">Foram incluídas caixas de </w:t>
      </w:r>
      <w:r w:rsidRPr="00983F71">
        <w:rPr>
          <w:rFonts w:ascii="Arial" w:eastAsia="Times New Roman" w:hAnsi="Arial" w:cs="Arial"/>
          <w:b/>
          <w:sz w:val="26"/>
          <w:szCs w:val="26"/>
          <w:lang w:eastAsia="pt-BR"/>
        </w:rPr>
        <w:t>orientações práticas</w:t>
      </w:r>
      <w:r w:rsidRPr="00983F71">
        <w:rPr>
          <w:rFonts w:ascii="Arial" w:eastAsia="Times New Roman" w:hAnsi="Arial" w:cs="Arial"/>
          <w:sz w:val="26"/>
          <w:szCs w:val="26"/>
          <w:lang w:eastAsia="pt-BR"/>
        </w:rPr>
        <w:t xml:space="preserve"> com o intuito de facilitar a compreensão de cada um de seus elementos e auxiliar o(s) elaborador(es) deste documento.</w:t>
      </w: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r w:rsidRPr="00983F71">
        <w:rPr>
          <w:rFonts w:ascii="Arial" w:eastAsia="Times New Roman" w:hAnsi="Arial" w:cs="Arial"/>
          <w:sz w:val="26"/>
          <w:szCs w:val="26"/>
          <w:lang w:eastAsia="pt-BR"/>
        </w:rPr>
        <w:t>Convém esclarecer que a minuta foi elaborada de acordo com os elementos exigidos pelo art. 10 do Decreto Estadual 15.524/2020, procurando oferecer uma base jurídica-formal para a contratação de prestação de serviços sem dedicação de mão de obra exclusiva.</w:t>
      </w: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r w:rsidRPr="00983F71">
        <w:rPr>
          <w:rFonts w:ascii="Arial" w:eastAsia="Times New Roman" w:hAnsi="Arial" w:cs="Arial"/>
          <w:sz w:val="26"/>
          <w:szCs w:val="26"/>
          <w:lang w:eastAsia="pt-BR"/>
        </w:rPr>
        <w:t>Assim, a equipe de planejamento deverá incluir todas as informações técnicas e específicas para cada contratação, atentando-se para os elementos já construídos no Estudo Técnico Preliminar, conforme as diretrizes do Decreto Estadual 15.524/2020.</w:t>
      </w: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r w:rsidRPr="00983F71">
        <w:rPr>
          <w:rFonts w:ascii="Arial" w:eastAsia="Times New Roman" w:hAnsi="Arial" w:cs="Arial"/>
          <w:sz w:val="26"/>
          <w:szCs w:val="26"/>
          <w:lang w:eastAsia="pt-BR"/>
        </w:rPr>
        <w:t>Caso seja necessária a realização de modificação em texto de observância obrigatória ou acréscimo de cláusulas e havendo necessidade de consulta ao órgão jurídico acerca dessas alterações, elas devem ser destacadas no texto e informada a alteração, juntamente com a sua justificativa e o apontamento da dúvida jurídica pertinente a cada uma delas.</w:t>
      </w: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p>
    <w:p w:rsidR="00983F71" w:rsidRPr="00983F71" w:rsidRDefault="00983F71" w:rsidP="00983F71">
      <w:pPr>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6"/>
          <w:lang w:eastAsia="pt-BR"/>
        </w:rPr>
      </w:pPr>
      <w:r w:rsidRPr="00983F71">
        <w:rPr>
          <w:rFonts w:ascii="Arial" w:eastAsia="Times New Roman" w:hAnsi="Arial" w:cs="Arial"/>
          <w:sz w:val="26"/>
          <w:szCs w:val="26"/>
          <w:lang w:eastAsia="pt-BR"/>
        </w:rPr>
        <w:lastRenderedPageBreak/>
        <w:t xml:space="preserve">Sugestões de alteração da minuta padrão poderão ser encaminhadas ao e-mail: </w:t>
      </w:r>
      <w:r w:rsidRPr="00983F71">
        <w:rPr>
          <w:rFonts w:ascii="Arial" w:eastAsia="Times New Roman" w:hAnsi="Arial" w:cs="Arial"/>
          <w:b/>
          <w:sz w:val="26"/>
          <w:szCs w:val="26"/>
          <w:lang w:eastAsia="pt-BR"/>
        </w:rPr>
        <w:t>asstecgab@pge.ms.gov.br</w:t>
      </w:r>
      <w:r w:rsidRPr="00983F71">
        <w:rPr>
          <w:rFonts w:ascii="Arial" w:eastAsia="Times New Roman" w:hAnsi="Arial" w:cs="Arial"/>
          <w:sz w:val="26"/>
          <w:szCs w:val="26"/>
          <w:lang w:eastAsia="pt-BR"/>
        </w:rPr>
        <w:t xml:space="preserve">. </w:t>
      </w:r>
    </w:p>
    <w:p w:rsidR="00983F71" w:rsidRPr="00983F71" w:rsidRDefault="00983F71" w:rsidP="00983F71">
      <w:pPr>
        <w:spacing w:after="0" w:line="240" w:lineRule="auto"/>
        <w:jc w:val="both"/>
        <w:rPr>
          <w:rFonts w:ascii="Arial" w:eastAsia="Times New Roman" w:hAnsi="Arial" w:cs="Arial"/>
          <w:b/>
          <w:color w:val="000000"/>
          <w:sz w:val="20"/>
          <w:szCs w:val="20"/>
          <w:lang w:eastAsia="pt-BR"/>
        </w:rPr>
      </w:pPr>
      <w:r w:rsidRPr="00983F71">
        <w:rPr>
          <w:rFonts w:ascii="Arial" w:eastAsia="Times New Roman" w:hAnsi="Arial" w:cs="Arial"/>
          <w:b/>
          <w:color w:val="000000"/>
          <w:sz w:val="20"/>
          <w:szCs w:val="20"/>
          <w:lang w:eastAsia="pt-BR"/>
        </w:rPr>
        <w:br w:type="page"/>
      </w:r>
    </w:p>
    <w:p w:rsidR="00983F71" w:rsidRPr="00983F71" w:rsidRDefault="00983F71" w:rsidP="00983F71">
      <w:pPr>
        <w:spacing w:after="0" w:line="240" w:lineRule="auto"/>
        <w:jc w:val="center"/>
        <w:rPr>
          <w:rFonts w:ascii="Arial" w:eastAsia="Times New Roman" w:hAnsi="Arial" w:cs="Arial"/>
          <w:b/>
          <w:bCs/>
          <w:color w:val="000000"/>
          <w:sz w:val="20"/>
          <w:szCs w:val="20"/>
          <w:lang w:eastAsia="pt-BR"/>
        </w:rPr>
      </w:pPr>
      <w:r w:rsidRPr="00983F71">
        <w:rPr>
          <w:rFonts w:ascii="Arial" w:eastAsia="Times New Roman" w:hAnsi="Arial" w:cs="Arial"/>
          <w:b/>
          <w:bCs/>
          <w:color w:val="000000"/>
          <w:sz w:val="20"/>
          <w:szCs w:val="20"/>
          <w:lang w:eastAsia="pt-BR"/>
        </w:rPr>
        <w:lastRenderedPageBreak/>
        <w:t>TERMO DE REFERÊNCIA PARA CONTRATAÇÃO DE PRESTAÇÃO DE SERVIÇO SEM DEDICAÇÃO DE MÃO DE OBRA EXCLUSIVA</w:t>
      </w:r>
    </w:p>
    <w:p w:rsidR="00983F71" w:rsidRPr="00983F71" w:rsidRDefault="00983F71" w:rsidP="00983F71">
      <w:pPr>
        <w:spacing w:after="0" w:line="240" w:lineRule="auto"/>
        <w:jc w:val="both"/>
        <w:rPr>
          <w:rFonts w:ascii="Arial" w:eastAsia="Times New Roman" w:hAnsi="Arial" w:cs="Arial"/>
          <w:b/>
          <w:bCs/>
          <w:color w:val="000000"/>
          <w:sz w:val="20"/>
          <w:szCs w:val="20"/>
          <w:lang w:eastAsia="pt-BR"/>
        </w:rPr>
      </w:pPr>
    </w:p>
    <w:p w:rsidR="00983F71" w:rsidRPr="00983F71" w:rsidRDefault="00983F71" w:rsidP="00983F71">
      <w:pPr>
        <w:spacing w:after="0" w:line="240" w:lineRule="auto"/>
        <w:jc w:val="both"/>
        <w:rPr>
          <w:rFonts w:ascii="Arial" w:eastAsia="Calibri" w:hAnsi="Arial" w:cs="Arial"/>
          <w:sz w:val="20"/>
          <w:szCs w:val="20"/>
        </w:rPr>
      </w:pPr>
      <w:r w:rsidRPr="00983F71">
        <w:rPr>
          <w:rFonts w:ascii="Arial" w:eastAsia="Calibri" w:hAnsi="Arial" w:cs="Arial"/>
          <w:b/>
          <w:bCs/>
          <w:sz w:val="20"/>
          <w:szCs w:val="20"/>
        </w:rPr>
        <w:t>1.</w:t>
      </w:r>
      <w:r w:rsidRPr="00983F71">
        <w:rPr>
          <w:rFonts w:ascii="Arial" w:eastAsia="Calibri" w:hAnsi="Arial" w:cs="Arial"/>
          <w:sz w:val="20"/>
          <w:szCs w:val="20"/>
        </w:rPr>
        <w:t xml:space="preserve"> </w:t>
      </w:r>
      <w:r w:rsidRPr="00983F71">
        <w:rPr>
          <w:rFonts w:ascii="Arial" w:eastAsia="Calibri" w:hAnsi="Arial" w:cs="Arial"/>
          <w:b/>
          <w:bCs/>
          <w:sz w:val="20"/>
          <w:szCs w:val="20"/>
        </w:rPr>
        <w:t>DO OBJETO</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Calibri" w:hAnsi="Arial" w:cs="Arial"/>
          <w:b/>
          <w:sz w:val="20"/>
          <w:szCs w:val="20"/>
        </w:rPr>
      </w:pPr>
      <w:r w:rsidRPr="00983F71">
        <w:rPr>
          <w:rFonts w:ascii="Arial" w:eastAsia="Calibri" w:hAnsi="Arial" w:cs="Arial"/>
          <w:b/>
          <w:bCs/>
          <w:sz w:val="20"/>
          <w:szCs w:val="20"/>
        </w:rPr>
        <w:t>1.1.</w:t>
      </w:r>
      <w:r w:rsidRPr="00983F71">
        <w:rPr>
          <w:rFonts w:ascii="Arial" w:eastAsia="Calibri" w:hAnsi="Arial" w:cs="Arial"/>
          <w:sz w:val="20"/>
          <w:szCs w:val="20"/>
        </w:rPr>
        <w:t xml:space="preserve"> Contratação de serviço de </w:t>
      </w:r>
      <w:r w:rsidRPr="00983F71">
        <w:rPr>
          <w:rFonts w:ascii="Arial" w:eastAsia="Calibri" w:hAnsi="Arial" w:cs="Arial"/>
          <w:color w:val="FF0000"/>
          <w:sz w:val="20"/>
          <w:szCs w:val="20"/>
          <w:highlight w:val="yellow"/>
        </w:rPr>
        <w:t>............................................</w:t>
      </w:r>
      <w:r w:rsidRPr="00983F71">
        <w:rPr>
          <w:rFonts w:ascii="Arial" w:eastAsia="Calibri" w:hAnsi="Arial" w:cs="Arial"/>
          <w:sz w:val="20"/>
          <w:szCs w:val="20"/>
          <w:highlight w:val="yellow"/>
        </w:rPr>
        <w:t>,</w:t>
      </w:r>
      <w:r w:rsidRPr="00983F71">
        <w:rPr>
          <w:rFonts w:ascii="Arial" w:eastAsia="Calibri" w:hAnsi="Arial" w:cs="Arial"/>
          <w:sz w:val="20"/>
          <w:szCs w:val="20"/>
        </w:rPr>
        <w:t xml:space="preserve"> para atender a demanda do(s)</w:t>
      </w:r>
      <w:r w:rsidRPr="00983F71">
        <w:rPr>
          <w:rFonts w:ascii="Arial" w:eastAsia="Calibri" w:hAnsi="Arial" w:cs="Arial"/>
          <w:color w:val="FF0000"/>
          <w:sz w:val="20"/>
          <w:szCs w:val="20"/>
          <w:highlight w:val="yellow"/>
        </w:rPr>
        <w:t>.........................</w:t>
      </w:r>
      <w:r w:rsidRPr="00983F71">
        <w:rPr>
          <w:rFonts w:ascii="Arial" w:eastAsia="Calibri" w:hAnsi="Arial" w:cs="Arial"/>
          <w:sz w:val="20"/>
          <w:szCs w:val="20"/>
        </w:rPr>
        <w:t>, conforme condições, quantidades, especificações e exigências estabelecidas neste instrumento.</w:t>
      </w: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sz w:val="20"/>
          <w:szCs w:val="24"/>
          <w:lang w:eastAsia="pt-BR"/>
        </w:rPr>
      </w:pPr>
      <w:r w:rsidRPr="00983F71">
        <w:rPr>
          <w:rFonts w:ascii="Arial" w:eastAsia="Times New Roman" w:hAnsi="Arial" w:cs="Arial"/>
          <w:b/>
          <w:sz w:val="20"/>
          <w:szCs w:val="24"/>
          <w:lang w:eastAsia="pt-BR"/>
        </w:rPr>
        <w:t>Orientações práticas:</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4"/>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sz w:val="20"/>
          <w:szCs w:val="20"/>
        </w:rPr>
      </w:pPr>
      <w:r w:rsidRPr="00983F71">
        <w:rPr>
          <w:rFonts w:ascii="Arial" w:eastAsia="Calibri" w:hAnsi="Arial" w:cs="Arial"/>
          <w:b/>
          <w:bCs/>
          <w:sz w:val="20"/>
          <w:szCs w:val="20"/>
        </w:rPr>
        <w:t>Descrição do Objeto</w:t>
      </w:r>
      <w:r w:rsidRPr="00983F71">
        <w:rPr>
          <w:rFonts w:ascii="Arial" w:eastAsia="Calibri" w:hAnsi="Arial" w:cs="Arial"/>
          <w:sz w:val="20"/>
          <w:szCs w:val="20"/>
        </w:rPr>
        <w:t>: Ao descrever o serviço que se pretende contratar, a equipe de planejamento deve fazê-lo de forma PRECISA e SUFICIENTE, conforme estabelece a Súmula nº 177 do TCU. Ou seja, a descrição deve ser capaz de externar aos licitantes, sem maiores interpretações, qual o objeto da contratação.</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sz w:val="20"/>
          <w:szCs w:val="20"/>
        </w:rPr>
      </w:pPr>
      <w:r w:rsidRPr="00983F71">
        <w:rPr>
          <w:rFonts w:ascii="Arial" w:eastAsia="Calibri" w:hAnsi="Arial" w:cs="Arial"/>
          <w:sz w:val="20"/>
          <w:szCs w:val="20"/>
        </w:rPr>
        <w:t>A ausência da adequada especificação do objeto pode resultar em uma série vícios, como: (a)  afastar interessados no certame em virtude da dificuldade ou inviabilidade da identificação do objeto; (b) impedir e prejudicar a correta elaboração da pesquisa de mercado; (c) acarretar falhas na execução contratual.</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sz w:val="20"/>
          <w:szCs w:val="20"/>
        </w:rPr>
        <w:t xml:space="preserve">Além do detalhamento do serviço a ser contratado, com a descrição de suas especificações, devem constar, por exemplo, eventuais normas técnicas que disponham sobre padrões de qualidade obrigatórios para o serviço a ser licitado, assim como as definições, devidamente </w:t>
      </w:r>
      <w:r w:rsidRPr="00983F71">
        <w:rPr>
          <w:rFonts w:ascii="Arial" w:eastAsia="Calibri" w:hAnsi="Arial" w:cs="Arial"/>
          <w:sz w:val="20"/>
          <w:szCs w:val="20"/>
          <w:u w:val="single"/>
        </w:rPr>
        <w:t>justificadas</w:t>
      </w:r>
      <w:r w:rsidRPr="00983F71">
        <w:rPr>
          <w:rFonts w:ascii="Arial" w:eastAsia="Calibri" w:hAnsi="Arial" w:cs="Arial"/>
          <w:sz w:val="20"/>
          <w:szCs w:val="20"/>
        </w:rPr>
        <w:t>, da natureza do serviço (continuado ou não) e do regime de execução do serviço (empreitada por preço global, empreitada por preço unitário, tarefa, empreitada integral), atendendo a exigência dos incisos I e II do § 3º do art. 10 do Decreto n. 15.524/20. Abaixo, as notas explicativas irão abordar as redações propostas em cada uma dessas classificações.</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4"/>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4"/>
          <w:lang w:eastAsia="pt-BR"/>
        </w:rPr>
      </w:pPr>
      <w:r w:rsidRPr="00983F71">
        <w:rPr>
          <w:rFonts w:ascii="Arial" w:eastAsia="Times New Roman" w:hAnsi="Arial" w:cs="Arial"/>
          <w:b/>
          <w:sz w:val="20"/>
          <w:szCs w:val="24"/>
          <w:lang w:eastAsia="pt-BR"/>
        </w:rPr>
        <w:t xml:space="preserve">Utilização de tabelas: </w:t>
      </w:r>
      <w:r w:rsidRPr="00983F71">
        <w:rPr>
          <w:rFonts w:ascii="Arial" w:eastAsia="Times New Roman" w:hAnsi="Arial" w:cs="Arial"/>
          <w:sz w:val="20"/>
          <w:szCs w:val="24"/>
          <w:lang w:eastAsia="pt-BR"/>
        </w:rPr>
        <w:t xml:space="preserve">Sugere-se elaborar tabela com a indicação do item/lote, descrição do objeto, quantitativo, unidade de medida, valor máximo aceitável ou de referência – se for o caso, etc. </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4"/>
          <w:lang w:eastAsia="pt-BR"/>
        </w:rPr>
      </w:pPr>
      <w:r w:rsidRPr="00983F71">
        <w:rPr>
          <w:rFonts w:ascii="Arial" w:eastAsia="Times New Roman" w:hAnsi="Arial" w:cs="Arial"/>
          <w:sz w:val="20"/>
          <w:szCs w:val="24"/>
          <w:lang w:eastAsia="pt-BR"/>
        </w:rPr>
        <w:t xml:space="preserve">A tabela deve ser elaborada pelo órgão ou entidade de acordo com o certame. </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4"/>
          <w:lang w:eastAsia="pt-BR"/>
        </w:rPr>
      </w:pPr>
      <w:r w:rsidRPr="00983F71">
        <w:rPr>
          <w:rFonts w:ascii="Arial" w:eastAsia="Times New Roman" w:hAnsi="Arial" w:cs="Arial"/>
          <w:sz w:val="20"/>
          <w:szCs w:val="24"/>
          <w:lang w:eastAsia="pt-BR"/>
        </w:rPr>
        <w:t xml:space="preserve">Abaixo, </w:t>
      </w:r>
      <w:r w:rsidRPr="00983F71">
        <w:rPr>
          <w:rFonts w:ascii="Arial" w:eastAsia="Times New Roman" w:hAnsi="Arial" w:cs="Arial"/>
          <w:sz w:val="20"/>
          <w:szCs w:val="24"/>
          <w:u w:val="single"/>
          <w:lang w:eastAsia="pt-BR"/>
        </w:rPr>
        <w:t>seguem alguns EXEMPLOS de tabelas em caráter meramente ILUSTRATIVO</w:t>
      </w:r>
      <w:r w:rsidRPr="00983F71">
        <w:rPr>
          <w:rFonts w:ascii="Arial" w:eastAsia="Times New Roman" w:hAnsi="Arial" w:cs="Arial"/>
          <w:sz w:val="20"/>
          <w:szCs w:val="24"/>
          <w:lang w:eastAsia="pt-BR"/>
        </w:rPr>
        <w:t>; o órgão ou entidade deve elaborá-la da forma que melhor aprouver ao certame licitatório.</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4"/>
          <w:lang w:eastAsia="pt-BR"/>
        </w:rPr>
      </w:pPr>
      <w:r w:rsidRPr="00983F71">
        <w:rPr>
          <w:rFonts w:ascii="Arial" w:eastAsia="Times New Roman" w:hAnsi="Arial" w:cs="Arial"/>
          <w:sz w:val="20"/>
          <w:szCs w:val="24"/>
          <w:lang w:eastAsia="pt-BR"/>
        </w:rPr>
        <w:t xml:space="preserve">Na hipótese de registro de preços centralizada, a tabela indicada deverá especificar o quantitativo de cada um dos órgãos e entidades participantes. </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982"/>
        <w:gridCol w:w="992"/>
        <w:gridCol w:w="1276"/>
      </w:tblGrid>
      <w:tr w:rsidR="00983F71" w:rsidRPr="00983F71" w:rsidTr="00EC4554">
        <w:tc>
          <w:tcPr>
            <w:tcW w:w="851"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bCs/>
                <w:color w:val="FF0000"/>
                <w:sz w:val="20"/>
                <w:szCs w:val="24"/>
                <w:lang w:eastAsia="pt-BR"/>
              </w:rPr>
            </w:pPr>
            <w:r w:rsidRPr="00983F71">
              <w:rPr>
                <w:rFonts w:ascii="Arial" w:eastAsia="Times New Roman" w:hAnsi="Arial" w:cs="Arial"/>
                <w:bCs/>
                <w:color w:val="FF0000"/>
                <w:sz w:val="20"/>
                <w:szCs w:val="24"/>
                <w:lang w:eastAsia="pt-BR"/>
              </w:rPr>
              <w:t>ITEM</w:t>
            </w:r>
          </w:p>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5982" w:type="dxa"/>
            <w:tcBorders>
              <w:top w:val="single" w:sz="4" w:space="0" w:color="000000"/>
              <w:left w:val="single" w:sz="4" w:space="0" w:color="000000"/>
              <w:bottom w:val="single" w:sz="4" w:space="0" w:color="000000"/>
              <w:right w:val="single" w:sz="4" w:space="0" w:color="000000"/>
            </w:tcBorders>
            <w:hideMark/>
          </w:tcPr>
          <w:p w:rsidR="00983F71" w:rsidRPr="00983F71" w:rsidRDefault="00983F71" w:rsidP="00983F71">
            <w:pPr>
              <w:spacing w:after="0" w:line="240" w:lineRule="auto"/>
              <w:jc w:val="both"/>
              <w:rPr>
                <w:rFonts w:ascii="Arial" w:eastAsia="Times New Roman" w:hAnsi="Arial" w:cs="Arial"/>
                <w:bCs/>
                <w:color w:val="FF0000"/>
                <w:sz w:val="20"/>
                <w:szCs w:val="24"/>
                <w:lang w:eastAsia="pt-BR"/>
              </w:rPr>
            </w:pPr>
            <w:r w:rsidRPr="00983F71">
              <w:rPr>
                <w:rFonts w:ascii="Arial" w:eastAsia="Times New Roman" w:hAnsi="Arial" w:cs="Arial"/>
                <w:bCs/>
                <w:color w:val="FF0000"/>
                <w:sz w:val="20"/>
                <w:szCs w:val="24"/>
                <w:lang w:eastAsia="pt-BR"/>
              </w:rPr>
              <w:t>DESCRIÇÃO/</w:t>
            </w:r>
          </w:p>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Cs/>
                <w:color w:val="FF0000"/>
                <w:sz w:val="20"/>
                <w:szCs w:val="24"/>
                <w:lang w:eastAsia="pt-BR"/>
              </w:rPr>
              <w:t>ESPECIFICAÇÃO</w:t>
            </w:r>
          </w:p>
        </w:tc>
        <w:tc>
          <w:tcPr>
            <w:tcW w:w="992" w:type="dxa"/>
            <w:tcBorders>
              <w:top w:val="single" w:sz="4" w:space="0" w:color="000000"/>
              <w:left w:val="single" w:sz="4" w:space="0" w:color="000000"/>
              <w:bottom w:val="single" w:sz="4" w:space="0" w:color="000000"/>
              <w:right w:val="single" w:sz="4" w:space="0" w:color="000000"/>
            </w:tcBorders>
            <w:hideMark/>
          </w:tcPr>
          <w:p w:rsidR="00983F71" w:rsidRPr="00983F71" w:rsidRDefault="00983F71" w:rsidP="00983F71">
            <w:pPr>
              <w:widowControl w:val="0"/>
              <w:suppressAutoHyphens/>
              <w:spacing w:after="0" w:line="240" w:lineRule="auto"/>
              <w:jc w:val="both"/>
              <w:rPr>
                <w:rFonts w:ascii="Arial" w:eastAsia="Times New Roman" w:hAnsi="Arial" w:cs="Arial"/>
                <w:bCs/>
                <w:color w:val="FF0000"/>
                <w:sz w:val="20"/>
                <w:szCs w:val="24"/>
                <w:lang w:eastAsia="pt-BR"/>
              </w:rPr>
            </w:pPr>
            <w:r w:rsidRPr="00983F71">
              <w:rPr>
                <w:rFonts w:ascii="Arial" w:eastAsia="Times New Roman" w:hAnsi="Arial" w:cs="Arial"/>
                <w:bCs/>
                <w:color w:val="FF0000"/>
                <w:sz w:val="20"/>
                <w:szCs w:val="24"/>
                <w:lang w:eastAsia="pt-BR"/>
              </w:rPr>
              <w:t>Métrica ou Unidade de Medida</w:t>
            </w:r>
          </w:p>
        </w:tc>
        <w:tc>
          <w:tcPr>
            <w:tcW w:w="1276" w:type="dxa"/>
            <w:tcBorders>
              <w:top w:val="single" w:sz="4" w:space="0" w:color="000000"/>
              <w:left w:val="single" w:sz="4" w:space="0" w:color="000000"/>
              <w:bottom w:val="single" w:sz="4" w:space="0" w:color="000000"/>
              <w:right w:val="single" w:sz="4" w:space="0" w:color="000000"/>
            </w:tcBorders>
            <w:hideMark/>
          </w:tcPr>
          <w:p w:rsidR="00983F71" w:rsidRPr="00983F71" w:rsidRDefault="00983F71" w:rsidP="00983F71">
            <w:pPr>
              <w:widowControl w:val="0"/>
              <w:suppressAutoHyphens/>
              <w:spacing w:after="0" w:line="240" w:lineRule="auto"/>
              <w:jc w:val="both"/>
              <w:rPr>
                <w:rFonts w:ascii="Arial" w:eastAsia="Times New Roman" w:hAnsi="Arial" w:cs="Arial"/>
                <w:bCs/>
                <w:color w:val="FF0000"/>
                <w:sz w:val="20"/>
                <w:szCs w:val="24"/>
                <w:lang w:eastAsia="pt-BR"/>
              </w:rPr>
            </w:pPr>
            <w:r w:rsidRPr="00983F71">
              <w:rPr>
                <w:rFonts w:ascii="Arial" w:eastAsia="Times New Roman" w:hAnsi="Arial" w:cs="Arial"/>
                <w:bCs/>
                <w:color w:val="FF0000"/>
                <w:sz w:val="20"/>
                <w:szCs w:val="24"/>
                <w:lang w:eastAsia="pt-BR"/>
              </w:rPr>
              <w:t>Quantidade</w:t>
            </w:r>
          </w:p>
        </w:tc>
      </w:tr>
      <w:tr w:rsidR="00983F71" w:rsidRPr="00983F71" w:rsidTr="00EC4554">
        <w:tc>
          <w:tcPr>
            <w:tcW w:w="851" w:type="dxa"/>
            <w:tcBorders>
              <w:top w:val="single" w:sz="4" w:space="0" w:color="000000"/>
              <w:left w:val="single" w:sz="4" w:space="0" w:color="000000"/>
              <w:bottom w:val="single" w:sz="4" w:space="0" w:color="000000"/>
              <w:right w:val="single" w:sz="4" w:space="0" w:color="000000"/>
            </w:tcBorders>
            <w:hideMark/>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color w:val="FF0000"/>
                <w:sz w:val="20"/>
                <w:szCs w:val="24"/>
                <w:lang w:eastAsia="pt-BR"/>
              </w:rPr>
              <w:t>1</w:t>
            </w:r>
          </w:p>
        </w:tc>
        <w:tc>
          <w:tcPr>
            <w:tcW w:w="5982"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992"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1276"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r>
      <w:tr w:rsidR="00983F71" w:rsidRPr="00983F71" w:rsidTr="00EC4554">
        <w:tc>
          <w:tcPr>
            <w:tcW w:w="851" w:type="dxa"/>
            <w:tcBorders>
              <w:top w:val="single" w:sz="4" w:space="0" w:color="000000"/>
              <w:left w:val="single" w:sz="4" w:space="0" w:color="000000"/>
              <w:bottom w:val="single" w:sz="4" w:space="0" w:color="000000"/>
              <w:right w:val="single" w:sz="4" w:space="0" w:color="000000"/>
            </w:tcBorders>
            <w:hideMark/>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color w:val="FF0000"/>
                <w:sz w:val="20"/>
                <w:szCs w:val="24"/>
                <w:lang w:eastAsia="pt-BR"/>
              </w:rPr>
              <w:t>2</w:t>
            </w:r>
          </w:p>
        </w:tc>
        <w:tc>
          <w:tcPr>
            <w:tcW w:w="5982"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992"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1276"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r>
      <w:tr w:rsidR="00983F71" w:rsidRPr="00983F71" w:rsidTr="00EC4554">
        <w:tc>
          <w:tcPr>
            <w:tcW w:w="851" w:type="dxa"/>
            <w:tcBorders>
              <w:top w:val="single" w:sz="4" w:space="0" w:color="000000"/>
              <w:left w:val="single" w:sz="4" w:space="0" w:color="000000"/>
              <w:bottom w:val="single" w:sz="4" w:space="0" w:color="000000"/>
              <w:right w:val="single" w:sz="4" w:space="0" w:color="000000"/>
            </w:tcBorders>
            <w:hideMark/>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color w:val="FF0000"/>
                <w:sz w:val="20"/>
                <w:szCs w:val="24"/>
                <w:lang w:eastAsia="pt-BR"/>
              </w:rPr>
              <w:t>3</w:t>
            </w:r>
          </w:p>
        </w:tc>
        <w:tc>
          <w:tcPr>
            <w:tcW w:w="5982"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992"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1276"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r>
      <w:tr w:rsidR="00983F71" w:rsidRPr="00983F71" w:rsidTr="00EC4554">
        <w:tc>
          <w:tcPr>
            <w:tcW w:w="851" w:type="dxa"/>
            <w:tcBorders>
              <w:top w:val="single" w:sz="4" w:space="0" w:color="000000"/>
              <w:left w:val="single" w:sz="4" w:space="0" w:color="000000"/>
              <w:bottom w:val="single" w:sz="4" w:space="0" w:color="000000"/>
              <w:right w:val="single" w:sz="4" w:space="0" w:color="000000"/>
            </w:tcBorders>
            <w:hideMark/>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color w:val="FF0000"/>
                <w:sz w:val="20"/>
                <w:szCs w:val="24"/>
                <w:lang w:eastAsia="pt-BR"/>
              </w:rPr>
              <w:t>...</w:t>
            </w:r>
          </w:p>
        </w:tc>
        <w:tc>
          <w:tcPr>
            <w:tcW w:w="5982"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992"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1276"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r>
    </w:tbl>
    <w:p w:rsidR="00983F71" w:rsidRPr="00983F71" w:rsidRDefault="00983F71" w:rsidP="00983F71">
      <w:pPr>
        <w:keepNext/>
        <w:keepLines/>
        <w:spacing w:after="0" w:line="240" w:lineRule="auto"/>
        <w:ind w:left="644" w:hanging="360"/>
        <w:jc w:val="both"/>
        <w:outlineLvl w:val="0"/>
        <w:rPr>
          <w:rFonts w:ascii="Arial" w:eastAsia="MS Gothic" w:hAnsi="Arial" w:cs="Tahoma"/>
          <w:b/>
          <w:color w:val="FF0000"/>
          <w:sz w:val="20"/>
          <w:szCs w:val="24"/>
          <w:highlight w:val="yellow"/>
          <w:lang w:eastAsia="pt-BR"/>
        </w:rPr>
      </w:pPr>
    </w:p>
    <w:p w:rsidR="00983F71" w:rsidRPr="00983F71" w:rsidRDefault="00983F71" w:rsidP="00983F71">
      <w:pPr>
        <w:keepNext/>
        <w:keepLines/>
        <w:spacing w:after="0" w:line="240" w:lineRule="auto"/>
        <w:ind w:left="644" w:hanging="360"/>
        <w:jc w:val="both"/>
        <w:outlineLvl w:val="0"/>
        <w:rPr>
          <w:rFonts w:ascii="Arial" w:eastAsia="MS Gothic" w:hAnsi="Arial" w:cs="Tahoma"/>
          <w:b/>
          <w:color w:val="FF0000"/>
          <w:sz w:val="20"/>
          <w:szCs w:val="24"/>
          <w:lang w:eastAsia="pt-BR"/>
        </w:rPr>
      </w:pPr>
      <w:r w:rsidRPr="00983F71">
        <w:rPr>
          <w:rFonts w:ascii="Arial" w:eastAsia="MS Gothic" w:hAnsi="Arial" w:cs="Tahoma"/>
          <w:b/>
          <w:color w:val="FF0000"/>
          <w:sz w:val="20"/>
          <w:szCs w:val="24"/>
          <w:highlight w:val="yellow"/>
          <w:lang w:eastAsia="pt-BR"/>
        </w:rPr>
        <w:t>OU</w:t>
      </w:r>
    </w:p>
    <w:p w:rsidR="00983F71" w:rsidRPr="00983F71" w:rsidRDefault="00983F71" w:rsidP="00983F71">
      <w:pPr>
        <w:keepNext/>
        <w:keepLines/>
        <w:spacing w:after="0" w:line="240" w:lineRule="auto"/>
        <w:ind w:left="644" w:hanging="360"/>
        <w:jc w:val="both"/>
        <w:outlineLvl w:val="0"/>
        <w:rPr>
          <w:rFonts w:ascii="Arial" w:eastAsia="MS Gothic" w:hAnsi="Arial" w:cs="Tahoma"/>
          <w:b/>
          <w:color w:val="FF0000"/>
          <w:sz w:val="20"/>
          <w:szCs w:val="24"/>
          <w:lang w:eastAsia="pt-BR"/>
        </w:rPr>
      </w:pP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714"/>
        <w:gridCol w:w="1134"/>
        <w:gridCol w:w="2126"/>
        <w:gridCol w:w="1276"/>
      </w:tblGrid>
      <w:tr w:rsidR="00983F71" w:rsidRPr="00983F71" w:rsidTr="00EC4554">
        <w:tc>
          <w:tcPr>
            <w:tcW w:w="851"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bCs/>
                <w:color w:val="FF0000"/>
                <w:sz w:val="20"/>
                <w:szCs w:val="24"/>
                <w:lang w:eastAsia="pt-BR"/>
              </w:rPr>
            </w:pPr>
            <w:r w:rsidRPr="00983F71">
              <w:rPr>
                <w:rFonts w:ascii="Arial" w:eastAsia="Times New Roman" w:hAnsi="Arial" w:cs="Arial"/>
                <w:bCs/>
                <w:color w:val="FF0000"/>
                <w:sz w:val="20"/>
                <w:szCs w:val="24"/>
                <w:lang w:eastAsia="pt-BR"/>
              </w:rPr>
              <w:t>ITEM</w:t>
            </w:r>
          </w:p>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3714" w:type="dxa"/>
            <w:tcBorders>
              <w:top w:val="single" w:sz="4" w:space="0" w:color="000000"/>
              <w:left w:val="single" w:sz="4" w:space="0" w:color="000000"/>
              <w:bottom w:val="single" w:sz="4" w:space="0" w:color="000000"/>
              <w:right w:val="single" w:sz="4" w:space="0" w:color="000000"/>
            </w:tcBorders>
            <w:hideMark/>
          </w:tcPr>
          <w:p w:rsidR="00983F71" w:rsidRPr="00983F71" w:rsidRDefault="00983F71" w:rsidP="00983F71">
            <w:pPr>
              <w:spacing w:after="0" w:line="240" w:lineRule="auto"/>
              <w:jc w:val="both"/>
              <w:rPr>
                <w:rFonts w:ascii="Arial" w:eastAsia="Times New Roman" w:hAnsi="Arial" w:cs="Arial"/>
                <w:bCs/>
                <w:color w:val="FF0000"/>
                <w:sz w:val="20"/>
                <w:szCs w:val="24"/>
                <w:lang w:eastAsia="pt-BR"/>
              </w:rPr>
            </w:pPr>
            <w:r w:rsidRPr="00983F71">
              <w:rPr>
                <w:rFonts w:ascii="Arial" w:eastAsia="Times New Roman" w:hAnsi="Arial" w:cs="Arial"/>
                <w:bCs/>
                <w:color w:val="FF0000"/>
                <w:sz w:val="20"/>
                <w:szCs w:val="24"/>
                <w:lang w:eastAsia="pt-BR"/>
              </w:rPr>
              <w:t>DESCRIÇÃO/</w:t>
            </w:r>
          </w:p>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Cs/>
                <w:color w:val="FF0000"/>
                <w:sz w:val="20"/>
                <w:szCs w:val="24"/>
                <w:lang w:eastAsia="pt-BR"/>
              </w:rPr>
              <w:t>ESPECIFICAÇÃO</w:t>
            </w:r>
          </w:p>
        </w:tc>
        <w:tc>
          <w:tcPr>
            <w:tcW w:w="1134" w:type="dxa"/>
            <w:tcBorders>
              <w:top w:val="single" w:sz="4" w:space="0" w:color="000000"/>
              <w:left w:val="single" w:sz="4" w:space="0" w:color="000000"/>
              <w:bottom w:val="single" w:sz="4" w:space="0" w:color="000000"/>
              <w:right w:val="single" w:sz="4" w:space="0" w:color="000000"/>
            </w:tcBorders>
            <w:hideMark/>
          </w:tcPr>
          <w:p w:rsidR="00983F71" w:rsidRPr="00983F71" w:rsidRDefault="00983F71" w:rsidP="00983F71">
            <w:pPr>
              <w:widowControl w:val="0"/>
              <w:suppressAutoHyphens/>
              <w:spacing w:after="0" w:line="240" w:lineRule="auto"/>
              <w:jc w:val="both"/>
              <w:rPr>
                <w:rFonts w:ascii="Arial" w:eastAsia="Times New Roman" w:hAnsi="Arial" w:cs="Arial"/>
                <w:bCs/>
                <w:color w:val="FF0000"/>
                <w:sz w:val="20"/>
                <w:szCs w:val="24"/>
                <w:lang w:eastAsia="pt-BR"/>
              </w:rPr>
            </w:pPr>
            <w:r w:rsidRPr="00983F71">
              <w:rPr>
                <w:rFonts w:ascii="Arial" w:eastAsia="Times New Roman" w:hAnsi="Arial" w:cs="Arial"/>
                <w:bCs/>
                <w:color w:val="FF0000"/>
                <w:sz w:val="20"/>
                <w:szCs w:val="24"/>
                <w:lang w:eastAsia="pt-BR"/>
              </w:rPr>
              <w:t>Métrica ou Unidade de Medida</w:t>
            </w:r>
          </w:p>
        </w:tc>
        <w:tc>
          <w:tcPr>
            <w:tcW w:w="2126" w:type="dxa"/>
            <w:tcBorders>
              <w:top w:val="single" w:sz="4" w:space="0" w:color="000000"/>
              <w:left w:val="single" w:sz="4" w:space="0" w:color="000000"/>
              <w:bottom w:val="single" w:sz="4" w:space="0" w:color="000000"/>
              <w:right w:val="single" w:sz="4" w:space="0" w:color="000000"/>
            </w:tcBorders>
            <w:hideMark/>
          </w:tcPr>
          <w:p w:rsidR="00983F71" w:rsidRPr="00983F71" w:rsidRDefault="00983F71" w:rsidP="00983F71">
            <w:pPr>
              <w:widowControl w:val="0"/>
              <w:suppressAutoHyphens/>
              <w:spacing w:after="0" w:line="240" w:lineRule="auto"/>
              <w:jc w:val="both"/>
              <w:rPr>
                <w:rFonts w:ascii="Arial" w:eastAsia="Times New Roman" w:hAnsi="Arial" w:cs="Arial"/>
                <w:bCs/>
                <w:color w:val="FF0000"/>
                <w:sz w:val="20"/>
                <w:szCs w:val="24"/>
                <w:lang w:eastAsia="pt-BR"/>
              </w:rPr>
            </w:pPr>
            <w:r w:rsidRPr="00983F71">
              <w:rPr>
                <w:rFonts w:ascii="Arial" w:eastAsia="Times New Roman" w:hAnsi="Arial" w:cs="Arial"/>
                <w:bCs/>
                <w:color w:val="FF0000"/>
                <w:sz w:val="20"/>
                <w:szCs w:val="24"/>
                <w:lang w:eastAsia="pt-BR"/>
              </w:rPr>
              <w:t>Quantidade</w:t>
            </w:r>
          </w:p>
        </w:tc>
        <w:tc>
          <w:tcPr>
            <w:tcW w:w="1276" w:type="dxa"/>
            <w:tcBorders>
              <w:top w:val="single" w:sz="4" w:space="0" w:color="000000"/>
              <w:left w:val="single" w:sz="4" w:space="0" w:color="000000"/>
              <w:bottom w:val="single" w:sz="4" w:space="0" w:color="000000"/>
              <w:right w:val="single" w:sz="4" w:space="0" w:color="000000"/>
            </w:tcBorders>
            <w:hideMark/>
          </w:tcPr>
          <w:p w:rsidR="00983F71" w:rsidRPr="00983F71" w:rsidRDefault="00983F71" w:rsidP="00983F71">
            <w:pPr>
              <w:widowControl w:val="0"/>
              <w:suppressAutoHyphens/>
              <w:spacing w:after="0" w:line="240" w:lineRule="auto"/>
              <w:jc w:val="both"/>
              <w:rPr>
                <w:rFonts w:ascii="Arial" w:eastAsia="Times New Roman" w:hAnsi="Arial" w:cs="Arial"/>
                <w:bCs/>
                <w:color w:val="FF0000"/>
                <w:sz w:val="20"/>
                <w:szCs w:val="24"/>
                <w:lang w:eastAsia="pt-BR"/>
              </w:rPr>
            </w:pPr>
            <w:r w:rsidRPr="00983F71">
              <w:rPr>
                <w:rFonts w:ascii="Arial" w:eastAsia="Times New Roman" w:hAnsi="Arial" w:cs="Arial"/>
                <w:bCs/>
                <w:color w:val="FF0000"/>
                <w:sz w:val="20"/>
                <w:szCs w:val="24"/>
                <w:lang w:eastAsia="pt-BR"/>
              </w:rPr>
              <w:t xml:space="preserve">Valor Unitário Máximo </w:t>
            </w:r>
            <w:r w:rsidRPr="00983F71">
              <w:rPr>
                <w:rFonts w:ascii="Arial" w:eastAsia="Times New Roman" w:hAnsi="Arial" w:cs="Arial"/>
                <w:b/>
                <w:bCs/>
                <w:color w:val="FF0000"/>
                <w:sz w:val="20"/>
                <w:szCs w:val="24"/>
                <w:lang w:eastAsia="pt-BR"/>
              </w:rPr>
              <w:t>OU</w:t>
            </w:r>
            <w:r w:rsidRPr="00983F71">
              <w:rPr>
                <w:rFonts w:ascii="Arial" w:eastAsia="Times New Roman" w:hAnsi="Arial" w:cs="Arial"/>
                <w:bCs/>
                <w:color w:val="FF0000"/>
                <w:sz w:val="20"/>
                <w:szCs w:val="24"/>
                <w:lang w:eastAsia="pt-BR"/>
              </w:rPr>
              <w:t xml:space="preserve"> Valor de Referência</w:t>
            </w:r>
          </w:p>
        </w:tc>
      </w:tr>
      <w:tr w:rsidR="00983F71" w:rsidRPr="00983F71" w:rsidTr="00EC4554">
        <w:tc>
          <w:tcPr>
            <w:tcW w:w="851" w:type="dxa"/>
            <w:tcBorders>
              <w:top w:val="single" w:sz="4" w:space="0" w:color="000000"/>
              <w:left w:val="single" w:sz="4" w:space="0" w:color="000000"/>
              <w:bottom w:val="single" w:sz="4" w:space="0" w:color="000000"/>
              <w:right w:val="single" w:sz="4" w:space="0" w:color="000000"/>
            </w:tcBorders>
            <w:hideMark/>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color w:val="FF0000"/>
                <w:sz w:val="20"/>
                <w:szCs w:val="24"/>
                <w:lang w:eastAsia="pt-BR"/>
              </w:rPr>
              <w:t>1</w:t>
            </w:r>
          </w:p>
        </w:tc>
        <w:tc>
          <w:tcPr>
            <w:tcW w:w="3714"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1134"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2126"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1276"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r>
      <w:tr w:rsidR="00983F71" w:rsidRPr="00983F71" w:rsidTr="00EC4554">
        <w:tc>
          <w:tcPr>
            <w:tcW w:w="851" w:type="dxa"/>
            <w:tcBorders>
              <w:top w:val="single" w:sz="4" w:space="0" w:color="000000"/>
              <w:left w:val="single" w:sz="4" w:space="0" w:color="000000"/>
              <w:bottom w:val="single" w:sz="4" w:space="0" w:color="000000"/>
              <w:right w:val="single" w:sz="4" w:space="0" w:color="000000"/>
            </w:tcBorders>
            <w:hideMark/>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color w:val="FF0000"/>
                <w:sz w:val="20"/>
                <w:szCs w:val="24"/>
                <w:lang w:eastAsia="pt-BR"/>
              </w:rPr>
              <w:t>2</w:t>
            </w:r>
          </w:p>
        </w:tc>
        <w:tc>
          <w:tcPr>
            <w:tcW w:w="3714"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1134"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2126"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1276"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r>
      <w:tr w:rsidR="00983F71" w:rsidRPr="00983F71" w:rsidTr="00EC4554">
        <w:tc>
          <w:tcPr>
            <w:tcW w:w="851" w:type="dxa"/>
            <w:tcBorders>
              <w:top w:val="single" w:sz="4" w:space="0" w:color="000000"/>
              <w:left w:val="single" w:sz="4" w:space="0" w:color="000000"/>
              <w:bottom w:val="single" w:sz="4" w:space="0" w:color="000000"/>
              <w:right w:val="single" w:sz="4" w:space="0" w:color="000000"/>
            </w:tcBorders>
            <w:hideMark/>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color w:val="FF0000"/>
                <w:sz w:val="20"/>
                <w:szCs w:val="24"/>
                <w:lang w:eastAsia="pt-BR"/>
              </w:rPr>
              <w:t>3</w:t>
            </w:r>
          </w:p>
        </w:tc>
        <w:tc>
          <w:tcPr>
            <w:tcW w:w="3714"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1134"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2126"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1276"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r>
      <w:tr w:rsidR="00983F71" w:rsidRPr="00983F71" w:rsidTr="00EC4554">
        <w:tc>
          <w:tcPr>
            <w:tcW w:w="851" w:type="dxa"/>
            <w:tcBorders>
              <w:top w:val="single" w:sz="4" w:space="0" w:color="000000"/>
              <w:left w:val="single" w:sz="4" w:space="0" w:color="000000"/>
              <w:bottom w:val="single" w:sz="4" w:space="0" w:color="000000"/>
              <w:right w:val="single" w:sz="4" w:space="0" w:color="000000"/>
            </w:tcBorders>
            <w:hideMark/>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color w:val="FF0000"/>
                <w:sz w:val="20"/>
                <w:szCs w:val="24"/>
                <w:lang w:eastAsia="pt-BR"/>
              </w:rPr>
              <w:lastRenderedPageBreak/>
              <w:t>...</w:t>
            </w:r>
          </w:p>
        </w:tc>
        <w:tc>
          <w:tcPr>
            <w:tcW w:w="3714"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1134"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2126"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c>
          <w:tcPr>
            <w:tcW w:w="1276" w:type="dxa"/>
            <w:tcBorders>
              <w:top w:val="single" w:sz="4" w:space="0" w:color="000000"/>
              <w:left w:val="single" w:sz="4" w:space="0" w:color="000000"/>
              <w:bottom w:val="single" w:sz="4" w:space="0" w:color="000000"/>
              <w:right w:val="single" w:sz="4" w:space="0" w:color="000000"/>
            </w:tcBorders>
          </w:tcPr>
          <w:p w:rsidR="00983F71" w:rsidRPr="00983F71" w:rsidRDefault="00983F71" w:rsidP="00983F71">
            <w:pPr>
              <w:widowControl w:val="0"/>
              <w:suppressAutoHyphens/>
              <w:spacing w:after="0" w:line="240" w:lineRule="auto"/>
              <w:jc w:val="both"/>
              <w:rPr>
                <w:rFonts w:ascii="Arial" w:eastAsia="Times New Roman" w:hAnsi="Arial" w:cs="Arial"/>
                <w:color w:val="FF0000"/>
                <w:sz w:val="20"/>
                <w:szCs w:val="24"/>
                <w:lang w:eastAsia="pt-BR"/>
              </w:rPr>
            </w:pPr>
          </w:p>
        </w:tc>
      </w:tr>
    </w:tbl>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spacing w:after="0" w:line="240" w:lineRule="auto"/>
        <w:jc w:val="both"/>
        <w:rPr>
          <w:rFonts w:ascii="Arial" w:eastAsia="Calibri" w:hAnsi="Arial" w:cs="Arial"/>
          <w:b/>
          <w:sz w:val="20"/>
          <w:szCs w:val="20"/>
        </w:rPr>
      </w:pPr>
      <w:r w:rsidRPr="00983F71">
        <w:rPr>
          <w:rFonts w:ascii="Arial" w:eastAsia="Calibri" w:hAnsi="Arial" w:cs="Arial"/>
          <w:b/>
          <w:sz w:val="20"/>
          <w:szCs w:val="20"/>
        </w:rPr>
        <w:t xml:space="preserve">1.2. </w:t>
      </w:r>
      <w:r w:rsidRPr="00983F71">
        <w:rPr>
          <w:rFonts w:ascii="Arial" w:eastAsia="Calibri" w:hAnsi="Arial" w:cs="Arial"/>
          <w:bCs/>
          <w:sz w:val="20"/>
          <w:szCs w:val="20"/>
        </w:rPr>
        <w:t xml:space="preserve">A presente contratação adotará como regime de execução a </w:t>
      </w:r>
      <w:r w:rsidRPr="00983F71">
        <w:rPr>
          <w:rFonts w:ascii="Arial" w:eastAsia="Calibri" w:hAnsi="Arial" w:cs="Arial"/>
          <w:bCs/>
          <w:color w:val="FF0000"/>
          <w:sz w:val="20"/>
          <w:szCs w:val="20"/>
          <w:highlight w:val="yellow"/>
        </w:rPr>
        <w:t>......................... (Empreitada por Preço Unitário/Empreitada por Preço Global/Execução por Tarefa/Empreitada Integral)</w:t>
      </w:r>
      <w:r w:rsidRPr="00983F71">
        <w:rPr>
          <w:rFonts w:ascii="Arial" w:eastAsia="Calibri" w:hAnsi="Arial" w:cs="Arial"/>
          <w:bCs/>
          <w:color w:val="FF0000"/>
          <w:sz w:val="20"/>
          <w:szCs w:val="20"/>
        </w:rPr>
        <w:t>.</w:t>
      </w:r>
    </w:p>
    <w:p w:rsidR="00983F71" w:rsidRPr="00983F71" w:rsidRDefault="00983F71" w:rsidP="00983F71">
      <w:pPr>
        <w:spacing w:after="0" w:line="240" w:lineRule="auto"/>
        <w:jc w:val="both"/>
        <w:rPr>
          <w:rFonts w:ascii="Arial" w:eastAsia="Calibri" w:hAnsi="Arial" w:cs="Arial"/>
          <w:b/>
          <w:color w:val="FF0000"/>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Calibri" w:hAnsi="Arial" w:cs="Arial"/>
          <w:bCs/>
          <w:sz w:val="20"/>
          <w:szCs w:val="20"/>
        </w:rPr>
      </w:pPr>
      <w:r w:rsidRPr="00983F71">
        <w:rPr>
          <w:rFonts w:ascii="Arial" w:eastAsia="Calibri" w:hAnsi="Arial" w:cs="Arial"/>
          <w:b/>
          <w:sz w:val="20"/>
          <w:szCs w:val="20"/>
        </w:rPr>
        <w:t>Nota explicativa</w:t>
      </w:r>
      <w:r w:rsidRPr="00983F71">
        <w:rPr>
          <w:rFonts w:ascii="Arial" w:eastAsia="Calibri" w:hAnsi="Arial" w:cs="Arial"/>
          <w:bCs/>
          <w:sz w:val="20"/>
          <w:szCs w:val="20"/>
        </w:rPr>
        <w:t xml:space="preserve">: Na </w:t>
      </w:r>
      <w:r w:rsidRPr="00983F71">
        <w:rPr>
          <w:rFonts w:ascii="Arial" w:eastAsia="Calibri" w:hAnsi="Arial" w:cs="Arial"/>
          <w:b/>
          <w:sz w:val="20"/>
          <w:szCs w:val="20"/>
        </w:rPr>
        <w:t>empreitada por preço unitário</w:t>
      </w:r>
      <w:r w:rsidRPr="00983F71">
        <w:rPr>
          <w:rFonts w:ascii="Arial" w:eastAsia="Calibri" w:hAnsi="Arial" w:cs="Arial"/>
          <w:bCs/>
          <w:sz w:val="20"/>
          <w:szCs w:val="20"/>
        </w:rPr>
        <w:t>, o pagamento devido à contratada deve ser realizado de acordo com uma quantidade mensurada por unidades de medida (UST, “pontos de função”, “posto de trabalho”, “m²”, “refeição”, etc.), cujo valor total do contrato é o resultante da multiplicação do preço unitário pela quantidade e tipos de unidades contratadas. Por esse motivo, referido regime de execução é especialmente aplicável aos contratos que podem ser divididos em unidades autônomas independentes que compõem o objeto integral pretendido pela Administração.</w:t>
      </w: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Calibri" w:hAnsi="Arial" w:cs="Arial"/>
          <w:bCs/>
          <w:sz w:val="20"/>
          <w:szCs w:val="20"/>
        </w:rPr>
      </w:pPr>
      <w:r w:rsidRPr="00983F71">
        <w:rPr>
          <w:rFonts w:ascii="Arial" w:eastAsia="Calibri" w:hAnsi="Arial" w:cs="Arial"/>
          <w:bCs/>
          <w:sz w:val="20"/>
          <w:szCs w:val="20"/>
        </w:rPr>
        <w:t xml:space="preserve">Por outro lado, na </w:t>
      </w:r>
      <w:r w:rsidRPr="00983F71">
        <w:rPr>
          <w:rFonts w:ascii="Arial" w:eastAsia="Calibri" w:hAnsi="Arial" w:cs="Arial"/>
          <w:b/>
          <w:sz w:val="20"/>
          <w:szCs w:val="20"/>
        </w:rPr>
        <w:t>empreitada por preço global</w:t>
      </w:r>
      <w:r w:rsidRPr="00983F71">
        <w:rPr>
          <w:rFonts w:ascii="Arial" w:eastAsia="Calibri" w:hAnsi="Arial" w:cs="Arial"/>
          <w:bCs/>
          <w:sz w:val="20"/>
          <w:szCs w:val="20"/>
        </w:rPr>
        <w:t>, todos os serviços prestados pela contratada serão remunerados por um preço certo, fixo e total.</w:t>
      </w: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Calibri" w:hAnsi="Arial" w:cs="Arial"/>
          <w:bCs/>
          <w:sz w:val="20"/>
          <w:szCs w:val="20"/>
        </w:rPr>
      </w:pPr>
      <w:r w:rsidRPr="00983F71">
        <w:rPr>
          <w:rFonts w:ascii="Arial" w:eastAsia="Calibri" w:hAnsi="Arial" w:cs="Arial"/>
          <w:bCs/>
          <w:sz w:val="20"/>
          <w:szCs w:val="20"/>
        </w:rPr>
        <w:t>Segundo o TCU, a conveniência de se adotar o regime de empreitada por preço global diminui à medida que se eleva o nível de incerteza sobre o objeto a ser contratado: “9.1.3. a empreitada por preço global, em regra, em razão de a liquidação de despesas não envolver, necessariamente, a medição unitária dos quantitativos de cada serviço na planilha orçamentária, nos termos do art. 6º, inciso VIII, alínea 'a', da Lei 8.666/93, deve ser adotada quando for possível definir previamente no projeto, com boa margem de precisão, as quantidades dos serviços a serem posteriormente executados na fase contratual; enquanto que a empreitada por preço unitário deve ser preferida nos casos em que os objetos, por sua natureza, possuam uma imprecisão inerente de quantitativos em seus itens orçamentários, como são os casos de reformas de edificação, obras com grandes movimentações de terra e interferências, obras de manutenção rodoviária, dentre outras; 9.1.4. nas situações em que, mesmo diante de objeto com imprecisão intrínseca de quantitativos, tal qual asseverado no item 9.1.3. supra, se preferir a utilização da empreitada por preço global, deve ser justificada, no bojo do processo licitatório, a vantagem dessa transferência maior de riscos para o particular – e, consequentemente, maiores preços ofertados – em termos técnicos, econômicos ou outro objetivamente motivado, bem assim como os impactos decorrentes desses riscos na composição do orçamento da obra, em especial a taxa de BDI – Bonificação e Despesas Indiretas” (Ac n. 1.977/2013-Plenário).</w:t>
      </w: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Calibri" w:hAnsi="Arial" w:cs="Arial"/>
          <w:bCs/>
          <w:sz w:val="20"/>
          <w:szCs w:val="20"/>
        </w:rPr>
      </w:pPr>
      <w:r w:rsidRPr="00983F71">
        <w:rPr>
          <w:rFonts w:ascii="Arial" w:eastAsia="Calibri" w:hAnsi="Arial" w:cs="Arial"/>
          <w:bCs/>
          <w:sz w:val="20"/>
          <w:szCs w:val="20"/>
        </w:rPr>
        <w:t>Qualquer que seja a escolha do regime de execução contratual pelo gestor, deve estar fundamentada nos autos do processo licitatório, em prestígio ao princípio da motivação.</w:t>
      </w:r>
    </w:p>
    <w:p w:rsidR="00983F71" w:rsidRPr="00983F71" w:rsidRDefault="00983F71" w:rsidP="00983F71">
      <w:pPr>
        <w:spacing w:after="0" w:line="240" w:lineRule="auto"/>
        <w:jc w:val="both"/>
        <w:rPr>
          <w:rFonts w:ascii="Arial" w:eastAsia="Calibri" w:hAnsi="Arial" w:cs="Arial"/>
          <w:b/>
          <w:color w:val="FF0000"/>
          <w:sz w:val="20"/>
          <w:szCs w:val="20"/>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1.3.</w:t>
      </w:r>
      <w:r w:rsidRPr="00983F71">
        <w:rPr>
          <w:rFonts w:ascii="Arial" w:eastAsia="Times New Roman" w:hAnsi="Arial" w:cs="Arial"/>
          <w:color w:val="FF0000"/>
          <w:sz w:val="20"/>
          <w:szCs w:val="24"/>
          <w:lang w:eastAsia="pt-BR"/>
        </w:rPr>
        <w:t xml:space="preserve"> Tendo em vista a dependência do objeto para a execução das atividades meio e fim da contratante, os serviços descritos nesta contratação caracterizam-se como de natureza continuada, pois a sua indisponibilidade paralisa as atividades da contratante e traz prejuízos à prestação de serviços essenciais ao cidadão.</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Calibri" w:hAnsi="Arial" w:cs="Arial"/>
          <w:b/>
          <w:color w:val="FF0000"/>
          <w:sz w:val="20"/>
          <w:szCs w:val="20"/>
        </w:rPr>
      </w:pPr>
      <w:r w:rsidRPr="00983F71">
        <w:rPr>
          <w:rFonts w:ascii="Arial" w:eastAsia="Calibri" w:hAnsi="Arial" w:cs="Arial"/>
          <w:b/>
          <w:color w:val="FF0000"/>
          <w:sz w:val="20"/>
          <w:szCs w:val="20"/>
        </w:rPr>
        <w:t xml:space="preserve">1.4. </w:t>
      </w:r>
      <w:r w:rsidRPr="00983F71">
        <w:rPr>
          <w:rFonts w:ascii="Arial" w:eastAsia="Calibri" w:hAnsi="Arial" w:cs="Arial"/>
          <w:bCs/>
          <w:color w:val="FF0000"/>
          <w:sz w:val="20"/>
          <w:szCs w:val="20"/>
        </w:rPr>
        <w:t xml:space="preserve">O contrato terá vigência pelo período de </w:t>
      </w:r>
      <w:r w:rsidRPr="00983F71">
        <w:rPr>
          <w:rFonts w:ascii="Arial" w:eastAsia="Calibri" w:hAnsi="Arial" w:cs="Arial"/>
          <w:bCs/>
          <w:color w:val="FF0000"/>
          <w:sz w:val="20"/>
          <w:szCs w:val="20"/>
          <w:highlight w:val="yellow"/>
        </w:rPr>
        <w:t>.................................. (dias/meses)</w:t>
      </w:r>
      <w:r w:rsidRPr="00983F71">
        <w:rPr>
          <w:rFonts w:ascii="Arial" w:eastAsia="Calibri" w:hAnsi="Arial" w:cs="Arial"/>
          <w:bCs/>
          <w:color w:val="FF0000"/>
          <w:sz w:val="20"/>
          <w:szCs w:val="20"/>
        </w:rPr>
        <w:t xml:space="preserve">, não sendo prorrogável na forma do art. 57, II, da Lei de Licitações. </w:t>
      </w:r>
      <w:r w:rsidRPr="00983F71">
        <w:rPr>
          <w:rFonts w:ascii="Arial" w:eastAsia="Calibri" w:hAnsi="Arial" w:cs="Arial"/>
          <w:bCs/>
          <w:color w:val="FF0000"/>
          <w:sz w:val="20"/>
          <w:szCs w:val="20"/>
          <w:highlight w:val="yellow"/>
        </w:rPr>
        <w:t>(para serviços continuados, quando não admitida a prorrogação)</w:t>
      </w:r>
    </w:p>
    <w:p w:rsidR="00983F71" w:rsidRPr="00983F71" w:rsidRDefault="00983F71" w:rsidP="00983F71">
      <w:pPr>
        <w:spacing w:after="0" w:line="240" w:lineRule="auto"/>
        <w:jc w:val="both"/>
        <w:rPr>
          <w:rFonts w:ascii="Arial" w:eastAsia="Calibri" w:hAnsi="Arial" w:cs="Arial"/>
          <w:bCs/>
          <w:color w:val="FF0000"/>
          <w:sz w:val="20"/>
          <w:szCs w:val="20"/>
        </w:rPr>
      </w:pPr>
    </w:p>
    <w:p w:rsidR="00983F71" w:rsidRPr="00983F71" w:rsidRDefault="00983F71" w:rsidP="00983F71">
      <w:pPr>
        <w:spacing w:after="0" w:line="240" w:lineRule="auto"/>
        <w:jc w:val="both"/>
        <w:rPr>
          <w:rFonts w:ascii="Arial" w:eastAsia="Calibri" w:hAnsi="Arial" w:cs="Arial"/>
          <w:b/>
          <w:bCs/>
          <w:color w:val="FF0000"/>
          <w:sz w:val="20"/>
          <w:szCs w:val="20"/>
        </w:rPr>
      </w:pPr>
      <w:r w:rsidRPr="00983F71">
        <w:rPr>
          <w:rFonts w:ascii="Arial" w:eastAsia="Calibri" w:hAnsi="Arial" w:cs="Arial"/>
          <w:b/>
          <w:bCs/>
          <w:color w:val="FF0000"/>
          <w:sz w:val="20"/>
          <w:szCs w:val="20"/>
          <w:highlight w:val="yellow"/>
        </w:rPr>
        <w:t>OU</w:t>
      </w:r>
    </w:p>
    <w:p w:rsidR="00983F71" w:rsidRPr="00983F71" w:rsidRDefault="00983F71" w:rsidP="00983F71">
      <w:pPr>
        <w:spacing w:after="0" w:line="240" w:lineRule="auto"/>
        <w:jc w:val="both"/>
        <w:rPr>
          <w:rFonts w:ascii="Arial" w:eastAsia="Calibri" w:hAnsi="Arial" w:cs="Arial"/>
          <w:b/>
          <w:color w:val="FF0000"/>
          <w:sz w:val="20"/>
          <w:szCs w:val="20"/>
        </w:rPr>
      </w:pPr>
    </w:p>
    <w:p w:rsidR="00983F71" w:rsidRPr="00983F71" w:rsidRDefault="00983F71" w:rsidP="00983F71">
      <w:pPr>
        <w:spacing w:after="0" w:line="240" w:lineRule="auto"/>
        <w:jc w:val="both"/>
        <w:rPr>
          <w:rFonts w:ascii="Arial" w:eastAsia="Calibri" w:hAnsi="Arial" w:cs="Arial"/>
          <w:b/>
          <w:color w:val="FF0000"/>
          <w:sz w:val="20"/>
          <w:szCs w:val="20"/>
        </w:rPr>
      </w:pPr>
      <w:r w:rsidRPr="00983F71">
        <w:rPr>
          <w:rFonts w:ascii="Arial" w:eastAsia="Calibri" w:hAnsi="Arial" w:cs="Arial"/>
          <w:b/>
          <w:color w:val="FF0000"/>
          <w:sz w:val="20"/>
          <w:szCs w:val="20"/>
        </w:rPr>
        <w:t>1.4.</w:t>
      </w:r>
      <w:r w:rsidRPr="00983F71">
        <w:rPr>
          <w:rFonts w:ascii="Arial" w:eastAsia="Calibri" w:hAnsi="Arial" w:cs="Arial"/>
          <w:bCs/>
          <w:color w:val="FF0000"/>
          <w:sz w:val="20"/>
          <w:szCs w:val="20"/>
        </w:rPr>
        <w:t xml:space="preserve"> O prazo de vigência do contrato é de </w:t>
      </w:r>
      <w:r w:rsidRPr="00983F71">
        <w:rPr>
          <w:rFonts w:ascii="Arial" w:eastAsia="Calibri" w:hAnsi="Arial" w:cs="Arial"/>
          <w:bCs/>
          <w:color w:val="FF0000"/>
          <w:sz w:val="20"/>
          <w:szCs w:val="20"/>
          <w:highlight w:val="yellow"/>
        </w:rPr>
        <w:t>.................................. (meses/anos)</w:t>
      </w:r>
      <w:r w:rsidRPr="00983F71">
        <w:rPr>
          <w:rFonts w:ascii="Arial" w:eastAsia="Calibri" w:hAnsi="Arial" w:cs="Arial"/>
          <w:bCs/>
          <w:color w:val="FF0000"/>
          <w:sz w:val="20"/>
          <w:szCs w:val="20"/>
        </w:rPr>
        <w:t xml:space="preserve">, podendo ser prorrogado por interesse das partes até o limite de 60 (sessenta) meses, com base no artigo 57, II, da Lei 8.666, de 1993. </w:t>
      </w:r>
      <w:r w:rsidRPr="00983F71">
        <w:rPr>
          <w:rFonts w:ascii="Arial" w:eastAsia="Calibri" w:hAnsi="Arial" w:cs="Arial"/>
          <w:bCs/>
          <w:color w:val="FF0000"/>
          <w:sz w:val="20"/>
          <w:szCs w:val="20"/>
          <w:highlight w:val="yellow"/>
        </w:rPr>
        <w:t>(para serviços continuados, quando admitida a prorrogação)</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b/>
          <w:bCs/>
          <w:color w:val="FF0000"/>
          <w:sz w:val="20"/>
          <w:szCs w:val="24"/>
          <w:lang w:eastAsia="pt-BR"/>
        </w:rPr>
      </w:pPr>
      <w:r w:rsidRPr="00983F71">
        <w:rPr>
          <w:rFonts w:ascii="Arial" w:eastAsia="Times New Roman" w:hAnsi="Arial" w:cs="Arial"/>
          <w:b/>
          <w:bCs/>
          <w:color w:val="FF0000"/>
          <w:sz w:val="20"/>
          <w:szCs w:val="24"/>
          <w:highlight w:val="yellow"/>
          <w:lang w:eastAsia="pt-BR"/>
        </w:rPr>
        <w:t>OU</w:t>
      </w:r>
      <w:r w:rsidRPr="00983F71">
        <w:rPr>
          <w:rFonts w:ascii="Arial" w:eastAsia="Times New Roman" w:hAnsi="Arial" w:cs="Arial"/>
          <w:b/>
          <w:bCs/>
          <w:color w:val="FF0000"/>
          <w:sz w:val="20"/>
          <w:szCs w:val="24"/>
          <w:lang w:eastAsia="pt-BR"/>
        </w:rPr>
        <w:t xml:space="preserve"> </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1.3.</w:t>
      </w:r>
      <w:r w:rsidRPr="00983F71">
        <w:rPr>
          <w:rFonts w:ascii="Arial" w:eastAsia="Times New Roman" w:hAnsi="Arial" w:cs="Arial"/>
          <w:color w:val="FF0000"/>
          <w:sz w:val="20"/>
          <w:szCs w:val="24"/>
          <w:lang w:eastAsia="pt-BR"/>
        </w:rPr>
        <w:t xml:space="preserve"> Os serviços descritos nesta contratação NÃO possuem natureza continuada.</w:t>
      </w: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spacing w:after="0" w:line="240" w:lineRule="auto"/>
        <w:jc w:val="both"/>
        <w:rPr>
          <w:rFonts w:ascii="Arial" w:eastAsia="Calibri" w:hAnsi="Arial" w:cs="Arial"/>
          <w:bCs/>
          <w:color w:val="FF0000"/>
          <w:sz w:val="20"/>
          <w:szCs w:val="20"/>
        </w:rPr>
      </w:pPr>
      <w:r w:rsidRPr="00983F71">
        <w:rPr>
          <w:rFonts w:ascii="Arial" w:eastAsia="Calibri" w:hAnsi="Arial" w:cs="Arial"/>
          <w:b/>
          <w:color w:val="FF0000"/>
          <w:sz w:val="20"/>
          <w:szCs w:val="20"/>
        </w:rPr>
        <w:t xml:space="preserve">1.4. </w:t>
      </w:r>
      <w:r w:rsidRPr="00983F71">
        <w:rPr>
          <w:rFonts w:ascii="Arial" w:eastAsia="Calibri" w:hAnsi="Arial" w:cs="Arial"/>
          <w:bCs/>
          <w:color w:val="FF0000"/>
          <w:sz w:val="20"/>
          <w:szCs w:val="20"/>
        </w:rPr>
        <w:t xml:space="preserve">O contrato terá vigência pelo período de </w:t>
      </w:r>
      <w:r w:rsidRPr="00983F71">
        <w:rPr>
          <w:rFonts w:ascii="Arial" w:eastAsia="Calibri" w:hAnsi="Arial" w:cs="Arial"/>
          <w:bCs/>
          <w:color w:val="FF0000"/>
          <w:sz w:val="20"/>
          <w:szCs w:val="20"/>
          <w:highlight w:val="yellow"/>
        </w:rPr>
        <w:t>.................................. (dias/meses)</w:t>
      </w:r>
      <w:r w:rsidRPr="00983F71">
        <w:rPr>
          <w:rFonts w:ascii="Arial" w:eastAsia="Calibri" w:hAnsi="Arial" w:cs="Arial"/>
          <w:bCs/>
          <w:color w:val="FF0000"/>
          <w:sz w:val="20"/>
          <w:szCs w:val="20"/>
        </w:rPr>
        <w:t xml:space="preserve">, podendo ser prorrogado, com base no artigo 57, §1º, da Lei n. 8.666/93. </w:t>
      </w:r>
      <w:r w:rsidRPr="00983F71">
        <w:rPr>
          <w:rFonts w:ascii="Arial" w:eastAsia="Calibri" w:hAnsi="Arial" w:cs="Arial"/>
          <w:bCs/>
          <w:color w:val="FF0000"/>
          <w:sz w:val="20"/>
          <w:szCs w:val="20"/>
          <w:highlight w:val="yellow"/>
        </w:rPr>
        <w:t>(para serviços não continuados)</w:t>
      </w: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4"/>
          <w:lang w:eastAsia="ar-SA"/>
        </w:rPr>
      </w:pPr>
      <w:r w:rsidRPr="00983F71">
        <w:rPr>
          <w:rFonts w:ascii="Arial" w:eastAsia="Times New Roman" w:hAnsi="Arial" w:cs="Arial"/>
          <w:b/>
          <w:color w:val="000000"/>
          <w:sz w:val="20"/>
          <w:szCs w:val="24"/>
          <w:lang w:eastAsia="ar-SA"/>
        </w:rPr>
        <w:lastRenderedPageBreak/>
        <w:t>Nota explicativa 1:</w:t>
      </w:r>
      <w:r w:rsidRPr="00983F71">
        <w:rPr>
          <w:rFonts w:ascii="Arial" w:eastAsia="Times New Roman" w:hAnsi="Arial" w:cs="Arial"/>
          <w:color w:val="000000"/>
          <w:sz w:val="20"/>
          <w:szCs w:val="24"/>
          <w:lang w:eastAsia="ar-SA"/>
        </w:rPr>
        <w:t xml:space="preserve"> Serviços não continuados são aqueles que têm como escopo a obtenção de produtos específicos em um período pré-determinado, sem necessidade de prorrogações por vários exercícios financeiros. </w:t>
      </w: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4"/>
          <w:lang w:eastAsia="ar-SA"/>
        </w:rPr>
      </w:pPr>
      <w:r w:rsidRPr="00983F71">
        <w:rPr>
          <w:rFonts w:ascii="Arial" w:eastAsia="Times New Roman" w:hAnsi="Arial" w:cs="Arial"/>
          <w:color w:val="000000"/>
          <w:sz w:val="20"/>
          <w:szCs w:val="24"/>
          <w:lang w:eastAsia="ar-SA"/>
        </w:rPr>
        <w:t>A necessidade desta classificação importará, principalmente, na vigência do contrato e nas eventuais prorrogações. Isso porque, nos contratos conhecidos como de escopo, em que o prazo de vigência indica a duração estimada para a execução da obra e do serviço, acrescentado do prazo para as providências de recebimento, a prorrogação é algo excepcional e imprevisível, como se vê das hipóteses restritas do §1° do artigo 57 da Lei de Licitações e Contratos. Por outro lado, para serviços contínuos, os contratos são prorrogáveis até 60 (sessenta) meses, com base no artigo 57, II, da Lei 8.666/93.</w:t>
      </w: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4"/>
          <w:lang w:eastAsia="ar-SA"/>
        </w:rPr>
      </w:pPr>
      <w:r w:rsidRPr="00983F71">
        <w:rPr>
          <w:rFonts w:ascii="Arial" w:eastAsia="Times New Roman" w:hAnsi="Arial" w:cs="Arial"/>
          <w:color w:val="000000"/>
          <w:sz w:val="20"/>
          <w:szCs w:val="24"/>
          <w:lang w:eastAsia="ar-SA"/>
        </w:rPr>
        <w:t>Assim, o órgão deve escolher e aplicar uma das sistemáticas apenas, devendo essa escolha ser respeitada no edital e contrato, na descrição do prazo de vigência da contratação.</w:t>
      </w: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4"/>
          <w:lang w:eastAsia="ar-SA"/>
        </w:rPr>
      </w:pP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4"/>
          <w:lang w:eastAsia="ar-SA"/>
        </w:rPr>
      </w:pPr>
      <w:r w:rsidRPr="00983F71">
        <w:rPr>
          <w:rFonts w:ascii="Arial" w:eastAsia="Times New Roman" w:hAnsi="Arial" w:cs="Arial"/>
          <w:b/>
          <w:color w:val="000000"/>
          <w:sz w:val="20"/>
          <w:szCs w:val="24"/>
          <w:lang w:eastAsia="ar-SA"/>
        </w:rPr>
        <w:t>Nota explicativa 2</w:t>
      </w:r>
      <w:r w:rsidRPr="00983F71">
        <w:rPr>
          <w:rFonts w:ascii="Arial" w:eastAsia="Times New Roman" w:hAnsi="Arial" w:cs="Arial"/>
          <w:color w:val="000000"/>
          <w:sz w:val="20"/>
          <w:szCs w:val="24"/>
          <w:lang w:eastAsia="ar-SA"/>
        </w:rPr>
        <w:t xml:space="preserve">: Cabe destacar, no entanto, que a simples caracterização do serviço como continuado não representará, automaticamente, que a vigência do contrato poderá ser prorrogada em até 60 (sessenta) meses. Isso porque, o art. 57, IV, da Lei 8.666/93, traz regra específica de vigência contratual para a locação de equipamentos e utilização de software, podendo a vigência, nesses casos, durar até 48 (quarenta e oito) meses após o início da vigência do contrato. </w:t>
      </w:r>
    </w:p>
    <w:p w:rsidR="00983F71" w:rsidRPr="00983F71" w:rsidRDefault="00983F71" w:rsidP="00983F71">
      <w:pPr>
        <w:spacing w:after="0" w:line="240" w:lineRule="auto"/>
        <w:jc w:val="both"/>
        <w:rPr>
          <w:rFonts w:ascii="Arial" w:eastAsia="Times New Roman" w:hAnsi="Arial" w:cs="Arial"/>
          <w:b/>
          <w:bCs/>
          <w:color w:val="000000"/>
          <w:sz w:val="20"/>
          <w:szCs w:val="24"/>
          <w:lang w:eastAsia="pt-BR"/>
        </w:rPr>
      </w:pPr>
    </w:p>
    <w:p w:rsidR="00983F71" w:rsidRPr="00983F71" w:rsidRDefault="00983F71" w:rsidP="00983F71">
      <w:pPr>
        <w:spacing w:after="0" w:line="240" w:lineRule="auto"/>
        <w:jc w:val="both"/>
        <w:rPr>
          <w:rFonts w:ascii="Arial" w:eastAsia="Times New Roman" w:hAnsi="Arial" w:cs="Arial"/>
          <w:color w:val="000000"/>
          <w:sz w:val="20"/>
          <w:szCs w:val="24"/>
          <w:lang w:eastAsia="pt-BR"/>
        </w:rPr>
      </w:pPr>
      <w:r w:rsidRPr="00983F71">
        <w:rPr>
          <w:rFonts w:ascii="Arial" w:eastAsia="Times New Roman" w:hAnsi="Arial" w:cs="Arial"/>
          <w:b/>
          <w:bCs/>
          <w:color w:val="000000"/>
          <w:sz w:val="20"/>
          <w:szCs w:val="24"/>
          <w:lang w:eastAsia="pt-BR"/>
        </w:rPr>
        <w:t>1.5.</w:t>
      </w:r>
      <w:r w:rsidRPr="00983F71">
        <w:rPr>
          <w:rFonts w:ascii="Arial" w:eastAsia="Times New Roman" w:hAnsi="Arial" w:cs="Arial"/>
          <w:color w:val="000000"/>
          <w:sz w:val="20"/>
          <w:szCs w:val="24"/>
          <w:lang w:eastAsia="pt-BR"/>
        </w:rPr>
        <w:t xml:space="preserve"> O(s) objeto(s) dessa licitação é(são) classificado(s) como </w:t>
      </w:r>
      <w:r w:rsidRPr="00983F71">
        <w:rPr>
          <w:rFonts w:ascii="Arial" w:eastAsia="Times New Roman" w:hAnsi="Arial" w:cs="Arial"/>
          <w:b/>
          <w:color w:val="000000"/>
          <w:sz w:val="20"/>
          <w:szCs w:val="24"/>
          <w:lang w:eastAsia="pt-BR"/>
        </w:rPr>
        <w:t>serviço(s) comum(ns)</w:t>
      </w:r>
      <w:r w:rsidRPr="00983F71">
        <w:rPr>
          <w:rFonts w:ascii="Arial" w:eastAsia="Times New Roman" w:hAnsi="Arial" w:cs="Arial"/>
          <w:color w:val="000000"/>
          <w:sz w:val="20"/>
          <w:szCs w:val="24"/>
          <w:lang w:eastAsia="pt-BR"/>
        </w:rPr>
        <w:t>, pois possui(em) especificação(ões) usual(is) de mercado e padrão(ões) de qualidade definidos em Edital, nos termos do parágrafo único do art. 1º da Lei n. 10.520/02 e do inciso II e § 1º do art. 3º do Decreto Estadual n. 15.327/19.</w:t>
      </w:r>
    </w:p>
    <w:p w:rsidR="00983F71" w:rsidRPr="00983F71" w:rsidRDefault="00983F71" w:rsidP="00983F71">
      <w:pPr>
        <w:spacing w:after="0" w:line="240" w:lineRule="auto"/>
        <w:jc w:val="both"/>
        <w:rPr>
          <w:rFonts w:ascii="Arial" w:eastAsia="Times New Roman" w:hAnsi="Arial" w:cs="Arial"/>
          <w:color w:val="000000"/>
          <w:sz w:val="20"/>
          <w:szCs w:val="24"/>
          <w:lang w:eastAsia="pt-BR"/>
        </w:rPr>
      </w:pPr>
    </w:p>
    <w:p w:rsidR="00983F71" w:rsidRPr="00983F71" w:rsidRDefault="00983F71" w:rsidP="00983F71">
      <w:pPr>
        <w:spacing w:after="0" w:line="240" w:lineRule="auto"/>
        <w:jc w:val="both"/>
        <w:rPr>
          <w:rFonts w:ascii="Arial" w:eastAsia="Times New Roman" w:hAnsi="Arial" w:cs="Arial"/>
          <w:color w:val="000000"/>
          <w:sz w:val="20"/>
          <w:szCs w:val="24"/>
          <w:lang w:eastAsia="pt-BR"/>
        </w:rPr>
      </w:pPr>
      <w:r w:rsidRPr="00983F71">
        <w:rPr>
          <w:rFonts w:ascii="Arial" w:eastAsia="Times New Roman" w:hAnsi="Arial" w:cs="Arial"/>
          <w:b/>
          <w:color w:val="000000"/>
          <w:sz w:val="20"/>
          <w:szCs w:val="24"/>
          <w:highlight w:val="cyan"/>
          <w:lang w:eastAsia="pt-BR"/>
        </w:rPr>
        <w:t>1.6.</w:t>
      </w:r>
      <w:r w:rsidRPr="00983F71">
        <w:rPr>
          <w:rFonts w:ascii="Arial" w:eastAsia="Times New Roman" w:hAnsi="Arial" w:cs="Arial"/>
          <w:color w:val="000000"/>
          <w:sz w:val="20"/>
          <w:szCs w:val="24"/>
          <w:highlight w:val="cyan"/>
          <w:lang w:eastAsia="pt-BR"/>
        </w:rPr>
        <w:t xml:space="preserve"> A licitação será através do procedimento de </w:t>
      </w:r>
      <w:r w:rsidRPr="00983F71">
        <w:rPr>
          <w:rFonts w:ascii="Arial" w:eastAsia="Times New Roman" w:hAnsi="Arial" w:cs="Arial"/>
          <w:b/>
          <w:color w:val="000000"/>
          <w:sz w:val="20"/>
          <w:szCs w:val="24"/>
          <w:highlight w:val="cyan"/>
          <w:lang w:eastAsia="pt-BR"/>
        </w:rPr>
        <w:t>Registro de Preços</w:t>
      </w:r>
      <w:r w:rsidRPr="00983F71">
        <w:rPr>
          <w:rFonts w:ascii="Arial" w:eastAsia="Times New Roman" w:hAnsi="Arial" w:cs="Arial"/>
          <w:color w:val="000000"/>
          <w:sz w:val="20"/>
          <w:szCs w:val="24"/>
          <w:highlight w:val="cyan"/>
          <w:lang w:eastAsia="pt-BR"/>
        </w:rPr>
        <w:t xml:space="preserve">, conforme autorizam os incisos </w:t>
      </w:r>
      <w:r w:rsidRPr="00983F71">
        <w:rPr>
          <w:rFonts w:ascii="Arial" w:eastAsia="Times New Roman" w:hAnsi="Arial" w:cs="Arial"/>
          <w:color w:val="FF0000"/>
          <w:sz w:val="20"/>
          <w:szCs w:val="24"/>
          <w:highlight w:val="cyan"/>
          <w:lang w:eastAsia="pt-BR"/>
        </w:rPr>
        <w:t>XXXXXXXX</w:t>
      </w:r>
      <w:r w:rsidRPr="00983F71">
        <w:rPr>
          <w:rFonts w:ascii="Arial" w:eastAsia="Times New Roman" w:hAnsi="Arial" w:cs="Arial"/>
          <w:color w:val="000000"/>
          <w:sz w:val="20"/>
          <w:szCs w:val="24"/>
          <w:highlight w:val="cyan"/>
          <w:lang w:eastAsia="pt-BR"/>
        </w:rPr>
        <w:t xml:space="preserve"> do art. 3º do Decreto Estadual n. 15.454, de 10 de junho de 2020</w:t>
      </w:r>
      <w:r w:rsidRPr="00983F71">
        <w:rPr>
          <w:rFonts w:ascii="Arial" w:eastAsia="Times New Roman" w:hAnsi="Arial" w:cs="Arial"/>
          <w:color w:val="000000"/>
          <w:sz w:val="20"/>
          <w:szCs w:val="24"/>
          <w:lang w:eastAsia="pt-BR"/>
        </w:rPr>
        <w:t>.</w:t>
      </w:r>
    </w:p>
    <w:p w:rsidR="00983F71" w:rsidRPr="00983F71" w:rsidRDefault="00983F71" w:rsidP="00983F71">
      <w:pPr>
        <w:spacing w:after="0" w:line="240" w:lineRule="auto"/>
        <w:jc w:val="both"/>
        <w:rPr>
          <w:rFonts w:ascii="Arial" w:eastAsia="Calibri" w:hAnsi="Arial" w:cs="Arial"/>
          <w:color w:val="FF0000"/>
          <w:sz w:val="20"/>
          <w:szCs w:val="20"/>
          <w:highlight w:val="yellow"/>
        </w:rPr>
      </w:pP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Calibri" w:hAnsi="Arial" w:cs="Arial"/>
          <w:b/>
          <w:sz w:val="20"/>
          <w:szCs w:val="20"/>
        </w:rPr>
      </w:pPr>
      <w:r w:rsidRPr="00983F71">
        <w:rPr>
          <w:rFonts w:ascii="Arial" w:eastAsia="Calibri" w:hAnsi="Arial" w:cs="Arial"/>
          <w:b/>
          <w:bCs/>
          <w:sz w:val="20"/>
          <w:szCs w:val="20"/>
        </w:rPr>
        <w:t>Nota explicativa</w:t>
      </w:r>
      <w:r w:rsidRPr="00983F71">
        <w:rPr>
          <w:rFonts w:ascii="Arial" w:eastAsia="Calibri" w:hAnsi="Arial" w:cs="Arial"/>
          <w:sz w:val="20"/>
          <w:szCs w:val="20"/>
        </w:rPr>
        <w:t>: O campo em vermelho do subitem 1.6 deve indicar uma das hipóteses do art. 3º do Decreto Estadual n. 15.454/2020, que autoriza a utilização do Sistema de Registro de Preço.</w:t>
      </w:r>
    </w:p>
    <w:p w:rsidR="00983F71" w:rsidRPr="00983F71" w:rsidRDefault="00983F71" w:rsidP="00983F71">
      <w:pPr>
        <w:spacing w:after="0" w:line="240" w:lineRule="auto"/>
        <w:jc w:val="both"/>
        <w:rPr>
          <w:rFonts w:ascii="Arial" w:eastAsia="Times New Roman" w:hAnsi="Arial" w:cs="Arial"/>
          <w:color w:val="000000"/>
          <w:sz w:val="20"/>
          <w:szCs w:val="24"/>
          <w:lang w:eastAsia="pt-BR"/>
        </w:rPr>
      </w:pPr>
    </w:p>
    <w:p w:rsidR="00983F71" w:rsidRPr="00983F71" w:rsidRDefault="00983F71" w:rsidP="00983F71">
      <w:pPr>
        <w:spacing w:after="0" w:line="240" w:lineRule="auto"/>
        <w:jc w:val="both"/>
        <w:rPr>
          <w:rFonts w:ascii="Arial" w:eastAsia="Times New Roman" w:hAnsi="Arial" w:cs="Arial"/>
          <w:color w:val="000000"/>
          <w:sz w:val="20"/>
          <w:szCs w:val="24"/>
          <w:lang w:eastAsia="pt-BR"/>
        </w:rPr>
      </w:pPr>
    </w:p>
    <w:p w:rsidR="00983F71" w:rsidRPr="00983F71" w:rsidRDefault="00983F71" w:rsidP="00983F71">
      <w:pPr>
        <w:keepNext/>
        <w:keepLines/>
        <w:spacing w:after="0" w:line="240" w:lineRule="auto"/>
        <w:jc w:val="both"/>
        <w:outlineLvl w:val="0"/>
        <w:rPr>
          <w:rFonts w:ascii="Arial" w:eastAsia="MS Gothic" w:hAnsi="Arial" w:cs="Arial"/>
          <w:b/>
          <w:sz w:val="20"/>
          <w:szCs w:val="32"/>
          <w:lang w:eastAsia="pt-BR"/>
        </w:rPr>
      </w:pPr>
      <w:r w:rsidRPr="00983F71">
        <w:rPr>
          <w:rFonts w:ascii="Arial" w:eastAsia="MS Gothic" w:hAnsi="Arial" w:cs="Arial"/>
          <w:b/>
          <w:sz w:val="20"/>
          <w:szCs w:val="32"/>
          <w:lang w:eastAsia="pt-BR"/>
        </w:rPr>
        <w:t>2.    JUSTIFICATIVA DA CONTRATAÇÃO E DO QUANTITATIVO</w:t>
      </w:r>
    </w:p>
    <w:p w:rsidR="00983F71" w:rsidRPr="00983F71" w:rsidRDefault="00983F71" w:rsidP="00983F71">
      <w:pPr>
        <w:spacing w:after="0" w:line="240" w:lineRule="auto"/>
        <w:jc w:val="both"/>
        <w:rPr>
          <w:rFonts w:ascii="Arial" w:eastAsia="Times New Roman" w:hAnsi="Arial" w:cs="Arial"/>
          <w:sz w:val="20"/>
          <w:szCs w:val="20"/>
          <w:lang w:eastAsia="pt-BR"/>
        </w:rPr>
      </w:pPr>
    </w:p>
    <w:p w:rsidR="00983F71" w:rsidRPr="00983F71" w:rsidRDefault="00983F71" w:rsidP="00983F71">
      <w:pPr>
        <w:spacing w:after="0" w:line="240" w:lineRule="auto"/>
        <w:jc w:val="both"/>
        <w:rPr>
          <w:rFonts w:ascii="Arial" w:eastAsia="Times New Roman" w:hAnsi="Arial" w:cs="Arial"/>
          <w:color w:val="FF0000"/>
          <w:sz w:val="20"/>
          <w:szCs w:val="20"/>
          <w:lang w:eastAsia="pt-BR"/>
        </w:rPr>
      </w:pPr>
      <w:r w:rsidRPr="00983F71">
        <w:rPr>
          <w:rFonts w:ascii="Arial" w:eastAsia="Times New Roman" w:hAnsi="Arial" w:cs="Arial"/>
          <w:b/>
          <w:bCs/>
          <w:sz w:val="20"/>
          <w:szCs w:val="20"/>
          <w:lang w:eastAsia="pt-BR"/>
        </w:rPr>
        <w:t>2.1.</w:t>
      </w:r>
      <w:r w:rsidRPr="00983F71">
        <w:rPr>
          <w:rFonts w:ascii="Arial" w:eastAsia="Times New Roman" w:hAnsi="Arial" w:cs="Arial"/>
          <w:sz w:val="20"/>
          <w:szCs w:val="20"/>
          <w:lang w:eastAsia="pt-BR"/>
        </w:rPr>
        <w:t xml:space="preserve"> </w:t>
      </w:r>
      <w:r w:rsidRPr="00983F71">
        <w:rPr>
          <w:rFonts w:ascii="Arial" w:eastAsia="Times New Roman" w:hAnsi="Arial" w:cs="Arial"/>
          <w:color w:val="FF0000"/>
          <w:sz w:val="20"/>
          <w:szCs w:val="20"/>
          <w:highlight w:val="yellow"/>
          <w:lang w:eastAsia="pt-BR"/>
        </w:rPr>
        <w:t>....................</w:t>
      </w:r>
    </w:p>
    <w:p w:rsidR="00983F71" w:rsidRPr="00983F71" w:rsidRDefault="00983F71" w:rsidP="00983F71">
      <w:pPr>
        <w:spacing w:after="0" w:line="240" w:lineRule="auto"/>
        <w:jc w:val="both"/>
        <w:rPr>
          <w:rFonts w:ascii="Arial" w:eastAsia="Times New Roman" w:hAnsi="Arial" w:cs="Arial"/>
          <w:sz w:val="20"/>
          <w:szCs w:val="20"/>
          <w:lang w:eastAsia="pt-BR"/>
        </w:rPr>
      </w:pPr>
    </w:p>
    <w:p w:rsidR="00983F71" w:rsidRPr="00983F71" w:rsidRDefault="00983F71" w:rsidP="00983F71">
      <w:pPr>
        <w:pBdr>
          <w:top w:val="single" w:sz="4" w:space="1" w:color="auto"/>
          <w:left w:val="single" w:sz="4" w:space="0" w:color="auto"/>
          <w:bottom w:val="single" w:sz="4" w:space="1"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b/>
          <w:sz w:val="20"/>
          <w:szCs w:val="20"/>
        </w:rPr>
        <w:t>Orientações práticas:</w:t>
      </w:r>
    </w:p>
    <w:p w:rsidR="00983F71" w:rsidRPr="00983F71" w:rsidRDefault="00983F71" w:rsidP="00983F71">
      <w:pPr>
        <w:pBdr>
          <w:top w:val="single" w:sz="4" w:space="1" w:color="auto"/>
          <w:left w:val="single" w:sz="4" w:space="0" w:color="auto"/>
          <w:bottom w:val="single" w:sz="4" w:space="1" w:color="auto"/>
          <w:right w:val="single" w:sz="4" w:space="4" w:color="auto"/>
        </w:pBdr>
        <w:shd w:val="clear" w:color="auto" w:fill="FFFF00"/>
        <w:spacing w:after="0" w:line="240" w:lineRule="auto"/>
        <w:jc w:val="both"/>
        <w:rPr>
          <w:rFonts w:ascii="Arial" w:eastAsia="Calibri" w:hAnsi="Arial" w:cs="Arial"/>
          <w:bCs/>
          <w:sz w:val="20"/>
          <w:szCs w:val="20"/>
        </w:rPr>
      </w:pPr>
    </w:p>
    <w:p w:rsidR="00983F71" w:rsidRPr="00983F71" w:rsidRDefault="00983F71" w:rsidP="00983F71">
      <w:pPr>
        <w:pBdr>
          <w:top w:val="single" w:sz="4" w:space="1" w:color="auto"/>
          <w:left w:val="single" w:sz="4" w:space="0" w:color="auto"/>
          <w:bottom w:val="single" w:sz="4" w:space="1" w:color="auto"/>
          <w:right w:val="single" w:sz="4" w:space="4" w:color="auto"/>
        </w:pBdr>
        <w:shd w:val="clear" w:color="auto" w:fill="FFFF00"/>
        <w:spacing w:after="0" w:line="240" w:lineRule="auto"/>
        <w:jc w:val="both"/>
        <w:rPr>
          <w:rFonts w:ascii="Arial" w:eastAsia="Calibri" w:hAnsi="Arial" w:cs="Arial"/>
          <w:bCs/>
          <w:sz w:val="20"/>
          <w:szCs w:val="20"/>
        </w:rPr>
      </w:pPr>
      <w:r w:rsidRPr="00983F71">
        <w:rPr>
          <w:rFonts w:ascii="Arial" w:eastAsia="Calibri" w:hAnsi="Arial" w:cs="Arial"/>
          <w:bCs/>
          <w:sz w:val="20"/>
          <w:szCs w:val="20"/>
        </w:rPr>
        <w:t>O art. 10, I, alíneas ‘c’ e ‘d’, do Decreto n. 15.524/20 exige que o termo de referência aponte a justificativa da necessidade da contratação e justifique a necessidade do quantitativo a ser contratado.</w:t>
      </w:r>
    </w:p>
    <w:p w:rsidR="00983F71" w:rsidRPr="00983F71" w:rsidRDefault="00983F71" w:rsidP="00983F71">
      <w:pPr>
        <w:pBdr>
          <w:top w:val="single" w:sz="4" w:space="1" w:color="auto"/>
          <w:left w:val="single" w:sz="4" w:space="0" w:color="auto"/>
          <w:bottom w:val="single" w:sz="4" w:space="1" w:color="auto"/>
          <w:right w:val="single" w:sz="4" w:space="4" w:color="auto"/>
        </w:pBdr>
        <w:shd w:val="clear" w:color="auto" w:fill="FFFF00"/>
        <w:spacing w:after="0" w:line="240" w:lineRule="auto"/>
        <w:jc w:val="both"/>
        <w:rPr>
          <w:rFonts w:ascii="Arial" w:eastAsia="Calibri" w:hAnsi="Arial" w:cs="Arial"/>
          <w:bCs/>
          <w:sz w:val="20"/>
          <w:szCs w:val="20"/>
        </w:rPr>
      </w:pPr>
      <w:r w:rsidRPr="00983F71">
        <w:rPr>
          <w:rFonts w:ascii="Arial" w:eastAsia="Calibri" w:hAnsi="Arial" w:cs="Arial"/>
          <w:bCs/>
          <w:sz w:val="20"/>
          <w:szCs w:val="20"/>
        </w:rPr>
        <w:t>A equipe de planejamento poderá buscar esses elementos no estudo técnico preliminar, transcrevendo-os de forma sucinta no presente tópico.</w:t>
      </w:r>
    </w:p>
    <w:p w:rsidR="00983F71" w:rsidRPr="00983F71" w:rsidRDefault="00983F71" w:rsidP="00983F71">
      <w:pPr>
        <w:pBdr>
          <w:top w:val="single" w:sz="4" w:space="1" w:color="auto"/>
          <w:left w:val="single" w:sz="4" w:space="0" w:color="auto"/>
          <w:bottom w:val="single" w:sz="4" w:space="1" w:color="auto"/>
          <w:right w:val="single" w:sz="4" w:space="4" w:color="auto"/>
        </w:pBdr>
        <w:shd w:val="clear" w:color="auto" w:fill="FFFF00"/>
        <w:spacing w:after="0" w:line="240" w:lineRule="auto"/>
        <w:jc w:val="both"/>
        <w:rPr>
          <w:rFonts w:ascii="Arial" w:eastAsia="Calibri" w:hAnsi="Arial" w:cs="Arial"/>
          <w:b/>
          <w:bCs/>
          <w:sz w:val="20"/>
          <w:szCs w:val="20"/>
        </w:rPr>
      </w:pPr>
    </w:p>
    <w:p w:rsidR="00983F71" w:rsidRPr="00983F71" w:rsidRDefault="00983F71" w:rsidP="00983F71">
      <w:pPr>
        <w:pBdr>
          <w:top w:val="single" w:sz="4" w:space="1" w:color="auto"/>
          <w:left w:val="single" w:sz="4" w:space="0" w:color="auto"/>
          <w:bottom w:val="single" w:sz="4" w:space="1" w:color="auto"/>
          <w:right w:val="single" w:sz="4" w:space="4" w:color="auto"/>
        </w:pBdr>
        <w:shd w:val="clear" w:color="auto" w:fill="FFFF00"/>
        <w:spacing w:after="0" w:line="240" w:lineRule="auto"/>
        <w:jc w:val="both"/>
        <w:rPr>
          <w:rFonts w:ascii="Arial" w:eastAsia="Calibri" w:hAnsi="Arial" w:cs="Arial"/>
          <w:bCs/>
          <w:sz w:val="20"/>
          <w:szCs w:val="20"/>
        </w:rPr>
      </w:pPr>
      <w:r w:rsidRPr="00983F71">
        <w:rPr>
          <w:rFonts w:ascii="Arial" w:eastAsia="Calibri" w:hAnsi="Arial" w:cs="Arial"/>
          <w:b/>
          <w:bCs/>
          <w:sz w:val="20"/>
          <w:szCs w:val="20"/>
        </w:rPr>
        <w:t>1. Elementos da Justificativa</w:t>
      </w:r>
      <w:r w:rsidRPr="00983F71">
        <w:rPr>
          <w:rFonts w:ascii="Arial" w:eastAsia="Calibri" w:hAnsi="Arial" w:cs="Arial"/>
          <w:bCs/>
          <w:sz w:val="20"/>
          <w:szCs w:val="20"/>
        </w:rPr>
        <w:t>.</w:t>
      </w:r>
    </w:p>
    <w:p w:rsidR="00983F71" w:rsidRPr="00983F71" w:rsidRDefault="00983F71" w:rsidP="00983F71">
      <w:pPr>
        <w:pBdr>
          <w:top w:val="single" w:sz="4" w:space="1" w:color="auto"/>
          <w:left w:val="single" w:sz="4" w:space="0" w:color="auto"/>
          <w:bottom w:val="single" w:sz="4" w:space="1" w:color="auto"/>
          <w:right w:val="single" w:sz="4" w:space="4" w:color="auto"/>
        </w:pBdr>
        <w:shd w:val="clear" w:color="auto" w:fill="FFFF00"/>
        <w:spacing w:after="0" w:line="240" w:lineRule="auto"/>
        <w:jc w:val="both"/>
        <w:rPr>
          <w:rFonts w:ascii="Arial" w:eastAsia="Calibri" w:hAnsi="Arial" w:cs="Arial"/>
          <w:iCs/>
          <w:sz w:val="20"/>
          <w:szCs w:val="20"/>
          <w:lang w:val="x-none"/>
        </w:rPr>
      </w:pPr>
      <w:r w:rsidRPr="00983F71">
        <w:rPr>
          <w:rFonts w:ascii="Arial" w:eastAsia="Calibri" w:hAnsi="Arial" w:cs="Arial"/>
          <w:iCs/>
          <w:sz w:val="20"/>
          <w:szCs w:val="20"/>
          <w:lang w:val="x-none"/>
        </w:rPr>
        <w:t>Na definição do objeto já ficou delineado o que se quer.</w:t>
      </w:r>
    </w:p>
    <w:p w:rsidR="00983F71" w:rsidRPr="00983F71" w:rsidRDefault="00983F71" w:rsidP="00983F71">
      <w:pPr>
        <w:pBdr>
          <w:top w:val="single" w:sz="4" w:space="1" w:color="auto"/>
          <w:left w:val="single" w:sz="4" w:space="0" w:color="auto"/>
          <w:bottom w:val="single" w:sz="4" w:space="1"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iCs/>
          <w:sz w:val="20"/>
          <w:szCs w:val="20"/>
          <w:lang w:val="x-none"/>
        </w:rPr>
        <w:t>Agora, a justificativa daquilo que se quer e do quantitativo passa pela análise crítica dos seguintes questionamentos para demonstrar por que a contratação é necessária ao órgão ou entidade: Quem quer? Por que quer? Para que se quer? Quanto quer? Para quando se quer? Como quer?</w:t>
      </w:r>
    </w:p>
    <w:p w:rsidR="00983F71" w:rsidRPr="00983F71" w:rsidRDefault="00983F71" w:rsidP="00983F71">
      <w:pPr>
        <w:pBdr>
          <w:top w:val="single" w:sz="4" w:space="1" w:color="auto"/>
          <w:left w:val="single" w:sz="4" w:space="0" w:color="auto"/>
          <w:bottom w:val="single" w:sz="4" w:space="1" w:color="auto"/>
          <w:right w:val="single" w:sz="4" w:space="4" w:color="auto"/>
        </w:pBdr>
        <w:shd w:val="clear" w:color="auto" w:fill="FFFF00"/>
        <w:spacing w:after="0" w:line="240" w:lineRule="auto"/>
        <w:jc w:val="both"/>
        <w:rPr>
          <w:rFonts w:ascii="Arial" w:eastAsia="Calibri" w:hAnsi="Arial" w:cs="Arial"/>
          <w:b/>
          <w:sz w:val="20"/>
          <w:szCs w:val="20"/>
        </w:rPr>
      </w:pPr>
    </w:p>
    <w:p w:rsidR="00983F71" w:rsidRPr="00983F71" w:rsidRDefault="00983F71" w:rsidP="00983F71">
      <w:pPr>
        <w:pBdr>
          <w:top w:val="single" w:sz="4" w:space="1" w:color="auto"/>
          <w:left w:val="single" w:sz="4" w:space="0" w:color="auto"/>
          <w:bottom w:val="single" w:sz="4" w:space="1"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b/>
          <w:sz w:val="20"/>
          <w:szCs w:val="20"/>
        </w:rPr>
        <w:t>2. Instrução processual</w:t>
      </w:r>
    </w:p>
    <w:p w:rsidR="00983F71" w:rsidRPr="00983F71" w:rsidRDefault="00983F71" w:rsidP="00983F71">
      <w:pPr>
        <w:pBdr>
          <w:top w:val="single" w:sz="4" w:space="1" w:color="auto"/>
          <w:left w:val="single" w:sz="4" w:space="0" w:color="auto"/>
          <w:bottom w:val="single" w:sz="4" w:space="1" w:color="auto"/>
          <w:right w:val="single" w:sz="4" w:space="4" w:color="auto"/>
        </w:pBdr>
        <w:shd w:val="clear" w:color="auto" w:fill="FFFF00"/>
        <w:spacing w:after="0" w:line="240" w:lineRule="auto"/>
        <w:jc w:val="both"/>
        <w:rPr>
          <w:rFonts w:ascii="Arial" w:eastAsia="Calibri" w:hAnsi="Arial" w:cs="Arial"/>
          <w:sz w:val="20"/>
          <w:szCs w:val="20"/>
        </w:rPr>
      </w:pPr>
      <w:r w:rsidRPr="00983F71">
        <w:rPr>
          <w:rFonts w:ascii="Arial" w:eastAsia="Calibri" w:hAnsi="Arial" w:cs="Arial"/>
          <w:sz w:val="20"/>
          <w:szCs w:val="20"/>
        </w:rPr>
        <w:t>Os documentos que serviram de base para a elaboração da justificativa e definição do quantitativo (ex.: série histórica de consumo, contratos anteriores, experiência de outros órgãos etc.) devem estar nos autos acompanhando o termo de referência como anexo.</w:t>
      </w:r>
    </w:p>
    <w:p w:rsidR="00983F71" w:rsidRPr="00983F71" w:rsidRDefault="00983F71" w:rsidP="00983F71">
      <w:pPr>
        <w:keepNext/>
        <w:keepLines/>
        <w:spacing w:after="0" w:line="240" w:lineRule="auto"/>
        <w:jc w:val="both"/>
        <w:outlineLvl w:val="0"/>
        <w:rPr>
          <w:rFonts w:ascii="Arial" w:eastAsia="MS Gothic" w:hAnsi="Arial" w:cs="Arial"/>
          <w:b/>
          <w:sz w:val="20"/>
          <w:szCs w:val="32"/>
          <w:lang w:eastAsia="pt-BR"/>
        </w:rPr>
      </w:pPr>
    </w:p>
    <w:p w:rsidR="00983F71" w:rsidRPr="00983F71" w:rsidRDefault="00983F71" w:rsidP="00983F71">
      <w:pPr>
        <w:spacing w:after="0" w:line="240" w:lineRule="auto"/>
        <w:jc w:val="both"/>
        <w:rPr>
          <w:rFonts w:ascii="Arial" w:eastAsia="Times New Roman" w:hAnsi="Arial" w:cs="Tahoma"/>
          <w:sz w:val="20"/>
          <w:szCs w:val="24"/>
          <w:lang w:eastAsia="pt-BR"/>
        </w:rPr>
      </w:pPr>
    </w:p>
    <w:p w:rsidR="00983F71" w:rsidRPr="00983F71" w:rsidRDefault="00983F71" w:rsidP="00983F71">
      <w:pPr>
        <w:keepNext/>
        <w:keepLines/>
        <w:spacing w:after="0" w:line="240" w:lineRule="auto"/>
        <w:jc w:val="both"/>
        <w:outlineLvl w:val="0"/>
        <w:rPr>
          <w:rFonts w:ascii="Arial" w:eastAsia="MS Gothic" w:hAnsi="Arial" w:cs="Arial"/>
          <w:b/>
          <w:sz w:val="20"/>
          <w:szCs w:val="32"/>
          <w:lang w:eastAsia="pt-BR"/>
        </w:rPr>
      </w:pPr>
      <w:r w:rsidRPr="00983F71">
        <w:rPr>
          <w:rFonts w:ascii="Arial" w:eastAsia="MS Gothic" w:hAnsi="Arial" w:cs="Arial"/>
          <w:b/>
          <w:sz w:val="20"/>
          <w:szCs w:val="32"/>
          <w:lang w:eastAsia="pt-BR"/>
        </w:rPr>
        <w:t>3. DEFINIÇÃO DOS MÉTODOS PARA EXECUÇÃO DO OBJETO</w:t>
      </w:r>
    </w:p>
    <w:p w:rsidR="00983F71" w:rsidRPr="00983F71" w:rsidRDefault="00983F71" w:rsidP="00983F71">
      <w:pPr>
        <w:spacing w:after="0" w:line="240" w:lineRule="auto"/>
        <w:jc w:val="both"/>
        <w:rPr>
          <w:rFonts w:ascii="Arial" w:eastAsia="Times New Roman" w:hAnsi="Arial" w:cs="Tahoma"/>
          <w:sz w:val="20"/>
          <w:szCs w:val="24"/>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b/>
          <w:sz w:val="20"/>
          <w:szCs w:val="20"/>
        </w:rPr>
        <w:t>Orientações práticas:</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Cs/>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Cs/>
          <w:sz w:val="20"/>
          <w:szCs w:val="20"/>
        </w:rPr>
      </w:pPr>
      <w:r w:rsidRPr="00983F71">
        <w:rPr>
          <w:rFonts w:ascii="Arial" w:eastAsia="Calibri" w:hAnsi="Arial" w:cs="Arial"/>
          <w:bCs/>
          <w:sz w:val="20"/>
          <w:szCs w:val="20"/>
        </w:rPr>
        <w:t>O art. 10, I, alínea ‘b’, do Decreto n. 15.524/20 exige que o termo de referência defina os métodos para a execução do objeto, o que consiste na indicação de como o contrato deverá produzir os resultados pretendidos desde o seu início até o seu encerramento.</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Cs/>
          <w:sz w:val="20"/>
          <w:szCs w:val="20"/>
        </w:rPr>
      </w:pPr>
      <w:r w:rsidRPr="00983F71">
        <w:rPr>
          <w:rFonts w:ascii="Arial" w:eastAsia="Calibri" w:hAnsi="Arial" w:cs="Arial"/>
          <w:bCs/>
          <w:sz w:val="20"/>
          <w:szCs w:val="20"/>
        </w:rPr>
        <w:t>Nesse ponto, a equipe de planejamento precisa avaliar, de acordo com cada serviço a ser contratado, a necessidade de definir, por exemplo: (i) especificação e caracterização do objeto, (ii) requisitos da contratação, (iii) prazo para início da execução, (iv) tarefas a serem desenvolvidas, (v) exigências de garantia do serviço e seu prazo mínimo, (vi) localidade e horário para prestação do serviço, (vii) a validade do produto cujo fornecimento seja indispensável à prestação do serviço etc.</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Cs/>
          <w:sz w:val="20"/>
          <w:szCs w:val="20"/>
        </w:rPr>
      </w:pPr>
      <w:r w:rsidRPr="00983F71">
        <w:rPr>
          <w:rFonts w:ascii="Arial" w:eastAsia="Calibri" w:hAnsi="Arial" w:cs="Arial"/>
          <w:bCs/>
          <w:sz w:val="20"/>
          <w:szCs w:val="20"/>
        </w:rPr>
        <w:t>Para auxiliar a definição dos métodos para execução do objeto, a equipe de planejamento pode valer-se das informações constantes na descrição da solução como um todo e nos requisitos da contratação do estudo técnico preliminar, lembrando que deve optar apenas por aquelas que estejam amparadas pela NECESSIDADE (não mais que o necessário, para não restringir a competição indevidamente) e SUFICIÊNCIA (não menos que o necessário, de forma que o objeto não fique precisamente definido).</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Cs/>
          <w:sz w:val="20"/>
          <w:szCs w:val="20"/>
        </w:rPr>
      </w:pPr>
      <w:r w:rsidRPr="00983F71">
        <w:rPr>
          <w:rFonts w:ascii="Arial" w:eastAsia="Calibri" w:hAnsi="Arial" w:cs="Arial"/>
          <w:bCs/>
          <w:sz w:val="20"/>
          <w:szCs w:val="20"/>
        </w:rPr>
        <w:t>Deve-se evitar a inclusão de itens, especificações e requisitos que restrinjam injustificadamente o caráter competitivo do certame.  Qualquer restrição em relação ao objeto da licitação deve ter como fundamento razões aptas a justificarem que a finalidade e o interesse público reclamam por tal exigência de forma irremediável, sob pena de violação ao art. 3º, § 1º, inc. I, da Lei 8.666/93.</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Cs/>
          <w:sz w:val="20"/>
          <w:szCs w:val="20"/>
        </w:rPr>
      </w:pPr>
      <w:r w:rsidRPr="00983F71">
        <w:rPr>
          <w:rFonts w:ascii="Arial" w:eastAsia="Calibri" w:hAnsi="Arial" w:cs="Arial"/>
          <w:bCs/>
          <w:sz w:val="20"/>
          <w:szCs w:val="20"/>
        </w:rPr>
        <w:t>Quando for incluído o fornecimento de materiais ao objeto do contrato, além daqueles inerentes ao serviço, é necessário indicar, expressamente, aqueles que serão fornecidos ou aqueles que não farão parte do contrato.</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Cs/>
          <w:sz w:val="20"/>
          <w:szCs w:val="20"/>
        </w:rPr>
      </w:pPr>
      <w:r w:rsidRPr="00983F71">
        <w:rPr>
          <w:rFonts w:ascii="Arial" w:eastAsia="Calibri" w:hAnsi="Arial" w:cs="Arial"/>
          <w:bCs/>
          <w:sz w:val="20"/>
          <w:szCs w:val="20"/>
        </w:rPr>
        <w:t>A título meramente ilustrativo e não exaustivo, sem vincular a equipe de planejamento, disponibiliza-se modelo de algumas cláusulas que podem ser adotadas, caso se adequem ao objeto a ser contratado.</w:t>
      </w:r>
    </w:p>
    <w:p w:rsidR="00983F71" w:rsidRPr="00983F71" w:rsidRDefault="00983F71" w:rsidP="00983F71">
      <w:pPr>
        <w:spacing w:after="0" w:line="240" w:lineRule="auto"/>
        <w:jc w:val="both"/>
        <w:rPr>
          <w:rFonts w:ascii="Arial" w:eastAsia="Times New Roman" w:hAnsi="Arial" w:cs="Arial"/>
          <w:iCs/>
          <w:sz w:val="20"/>
          <w:szCs w:val="20"/>
          <w:lang w:eastAsia="pt-BR"/>
        </w:rPr>
      </w:pPr>
    </w:p>
    <w:p w:rsidR="00983F71" w:rsidRPr="00983F71" w:rsidRDefault="00983F71" w:rsidP="00983F71">
      <w:pPr>
        <w:spacing w:after="0" w:line="240" w:lineRule="auto"/>
        <w:contextualSpacing/>
        <w:jc w:val="both"/>
        <w:rPr>
          <w:rFonts w:ascii="Arial" w:eastAsia="Times New Roman" w:hAnsi="Arial" w:cs="Arial"/>
          <w:color w:val="FF0000"/>
          <w:sz w:val="20"/>
          <w:szCs w:val="20"/>
          <w:lang w:eastAsia="pt-BR"/>
        </w:rPr>
      </w:pPr>
      <w:r w:rsidRPr="00983F71">
        <w:rPr>
          <w:rFonts w:ascii="Arial" w:eastAsia="Times New Roman" w:hAnsi="Arial" w:cs="Arial"/>
          <w:b/>
          <w:bCs/>
          <w:color w:val="FF0000"/>
          <w:sz w:val="20"/>
          <w:szCs w:val="20"/>
          <w:lang w:eastAsia="pt-BR"/>
        </w:rPr>
        <w:t>3.1.</w:t>
      </w:r>
      <w:r w:rsidRPr="00983F71">
        <w:rPr>
          <w:rFonts w:ascii="Arial" w:eastAsia="Times New Roman" w:hAnsi="Arial" w:cs="Arial"/>
          <w:color w:val="FF0000"/>
          <w:sz w:val="20"/>
          <w:szCs w:val="20"/>
          <w:lang w:eastAsia="pt-BR"/>
        </w:rPr>
        <w:t xml:space="preserve"> A prestação dos serviços não gera vínculo empregatício entre os empregados da contratada e a contratante, vedando-se qualquer relação entre estes que caracterize pessoalidade e subordinação direta.</w:t>
      </w:r>
    </w:p>
    <w:p w:rsidR="00983F71" w:rsidRPr="00983F71" w:rsidRDefault="00983F71" w:rsidP="00983F71">
      <w:pPr>
        <w:spacing w:after="0" w:line="240" w:lineRule="auto"/>
        <w:contextualSpacing/>
        <w:jc w:val="both"/>
        <w:rPr>
          <w:rFonts w:ascii="Arial" w:eastAsia="Times New Roman" w:hAnsi="Arial" w:cs="Arial"/>
          <w:color w:val="FF0000"/>
          <w:sz w:val="20"/>
          <w:szCs w:val="20"/>
          <w:lang w:eastAsia="pt-BR"/>
        </w:rPr>
      </w:pPr>
    </w:p>
    <w:p w:rsidR="00983F71" w:rsidRPr="00983F71" w:rsidRDefault="00983F71" w:rsidP="00983F71">
      <w:pPr>
        <w:spacing w:after="0" w:line="240" w:lineRule="auto"/>
        <w:contextualSpacing/>
        <w:jc w:val="both"/>
        <w:rPr>
          <w:rFonts w:ascii="Arial" w:eastAsia="Times New Roman" w:hAnsi="Arial" w:cs="Arial"/>
          <w:color w:val="FF0000"/>
          <w:sz w:val="20"/>
          <w:szCs w:val="20"/>
          <w:lang w:eastAsia="pt-BR"/>
        </w:rPr>
      </w:pPr>
      <w:r w:rsidRPr="00983F71">
        <w:rPr>
          <w:rFonts w:ascii="Arial" w:eastAsia="Times New Roman" w:hAnsi="Arial" w:cs="Arial"/>
          <w:b/>
          <w:bCs/>
          <w:color w:val="FF0000"/>
          <w:sz w:val="20"/>
          <w:szCs w:val="20"/>
          <w:lang w:eastAsia="pt-BR"/>
        </w:rPr>
        <w:t>3.2.</w:t>
      </w:r>
      <w:r w:rsidRPr="00983F71">
        <w:rPr>
          <w:rFonts w:ascii="Arial" w:eastAsia="Times New Roman" w:hAnsi="Arial" w:cs="Arial"/>
          <w:color w:val="FF0000"/>
          <w:sz w:val="20"/>
          <w:szCs w:val="20"/>
          <w:lang w:eastAsia="pt-BR"/>
        </w:rPr>
        <w:t xml:space="preserve"> O serviço a ser ofertado pelas licitantes deve observar as seguintes características e especificações:</w:t>
      </w:r>
    </w:p>
    <w:p w:rsidR="00983F71" w:rsidRPr="00983F71" w:rsidRDefault="00983F71" w:rsidP="00983F71">
      <w:pPr>
        <w:spacing w:after="0" w:line="240" w:lineRule="auto"/>
        <w:contextualSpacing/>
        <w:jc w:val="both"/>
        <w:rPr>
          <w:rFonts w:ascii="Arial" w:eastAsia="Times New Roman" w:hAnsi="Arial" w:cs="Arial"/>
          <w:color w:val="FF0000"/>
          <w:sz w:val="20"/>
          <w:szCs w:val="20"/>
          <w:lang w:eastAsia="pt-BR"/>
        </w:rPr>
      </w:pPr>
    </w:p>
    <w:p w:rsidR="00983F71" w:rsidRPr="00983F71" w:rsidRDefault="00983F71" w:rsidP="00983F71">
      <w:pPr>
        <w:spacing w:after="0" w:line="240" w:lineRule="auto"/>
        <w:contextualSpacing/>
        <w:jc w:val="both"/>
        <w:rPr>
          <w:rFonts w:ascii="Arial" w:eastAsia="Times New Roman" w:hAnsi="Arial" w:cs="Arial"/>
          <w:color w:val="FF0000"/>
          <w:sz w:val="20"/>
          <w:szCs w:val="20"/>
          <w:lang w:eastAsia="pt-BR"/>
        </w:rPr>
      </w:pPr>
      <w:r w:rsidRPr="00983F71">
        <w:rPr>
          <w:rFonts w:ascii="Arial" w:eastAsia="Times New Roman" w:hAnsi="Arial" w:cs="Arial"/>
          <w:b/>
          <w:bCs/>
          <w:color w:val="FF0000"/>
          <w:sz w:val="20"/>
          <w:szCs w:val="20"/>
          <w:lang w:eastAsia="pt-BR"/>
        </w:rPr>
        <w:t>3.2.1.</w:t>
      </w:r>
      <w:r w:rsidRPr="00983F71">
        <w:rPr>
          <w:rFonts w:ascii="Arial" w:eastAsia="Times New Roman" w:hAnsi="Arial" w:cs="Arial"/>
          <w:color w:val="FF0000"/>
          <w:sz w:val="20"/>
          <w:szCs w:val="20"/>
          <w:lang w:eastAsia="pt-BR"/>
        </w:rPr>
        <w:t xml:space="preserve"> </w:t>
      </w:r>
      <w:r w:rsidRPr="00983F71">
        <w:rPr>
          <w:rFonts w:ascii="Arial" w:eastAsia="Times New Roman" w:hAnsi="Arial" w:cs="Arial"/>
          <w:color w:val="FF0000"/>
          <w:sz w:val="20"/>
          <w:szCs w:val="20"/>
          <w:highlight w:val="yellow"/>
          <w:lang w:eastAsia="pt-BR"/>
        </w:rPr>
        <w:t>....</w:t>
      </w:r>
    </w:p>
    <w:p w:rsidR="00983F71" w:rsidRPr="00983F71" w:rsidRDefault="00983F71" w:rsidP="00983F71">
      <w:pPr>
        <w:spacing w:after="0" w:line="240" w:lineRule="auto"/>
        <w:contextualSpacing/>
        <w:jc w:val="both"/>
        <w:rPr>
          <w:rFonts w:ascii="Arial" w:eastAsia="Times New Roman" w:hAnsi="Arial" w:cs="Arial"/>
          <w:color w:val="FF0000"/>
          <w:sz w:val="20"/>
          <w:szCs w:val="20"/>
          <w:lang w:eastAsia="pt-BR"/>
        </w:rPr>
      </w:pPr>
    </w:p>
    <w:p w:rsidR="00983F71" w:rsidRPr="00983F71" w:rsidRDefault="00983F71" w:rsidP="00983F71">
      <w:pPr>
        <w:spacing w:after="0" w:line="240" w:lineRule="auto"/>
        <w:contextualSpacing/>
        <w:jc w:val="both"/>
        <w:rPr>
          <w:rFonts w:ascii="Arial" w:eastAsia="Times New Roman" w:hAnsi="Arial" w:cs="Arial"/>
          <w:color w:val="FF0000"/>
          <w:sz w:val="20"/>
          <w:szCs w:val="20"/>
          <w:lang w:eastAsia="pt-BR"/>
        </w:rPr>
      </w:pPr>
      <w:r w:rsidRPr="00983F71">
        <w:rPr>
          <w:rFonts w:ascii="Arial" w:eastAsia="Times New Roman" w:hAnsi="Arial" w:cs="Arial"/>
          <w:b/>
          <w:bCs/>
          <w:color w:val="FF0000"/>
          <w:sz w:val="20"/>
          <w:szCs w:val="20"/>
          <w:lang w:eastAsia="pt-BR"/>
        </w:rPr>
        <w:t>3.2.2.</w:t>
      </w:r>
      <w:r w:rsidRPr="00983F71">
        <w:rPr>
          <w:rFonts w:ascii="Arial" w:eastAsia="Times New Roman" w:hAnsi="Arial" w:cs="Arial"/>
          <w:color w:val="FF0000"/>
          <w:sz w:val="20"/>
          <w:szCs w:val="20"/>
          <w:lang w:eastAsia="pt-BR"/>
        </w:rPr>
        <w:t xml:space="preserve"> </w:t>
      </w:r>
      <w:r w:rsidRPr="00983F71">
        <w:rPr>
          <w:rFonts w:ascii="Arial" w:eastAsia="Times New Roman" w:hAnsi="Arial" w:cs="Arial"/>
          <w:color w:val="FF0000"/>
          <w:sz w:val="20"/>
          <w:szCs w:val="20"/>
          <w:highlight w:val="yellow"/>
          <w:lang w:eastAsia="pt-BR"/>
        </w:rPr>
        <w:t>(etc.)</w:t>
      </w:r>
    </w:p>
    <w:p w:rsidR="00983F71" w:rsidRPr="00983F71" w:rsidRDefault="00983F71" w:rsidP="00983F71">
      <w:pPr>
        <w:spacing w:after="0" w:line="240" w:lineRule="auto"/>
        <w:contextualSpacing/>
        <w:jc w:val="both"/>
        <w:rPr>
          <w:rFonts w:ascii="Arial" w:eastAsia="Times New Roman" w:hAnsi="Arial" w:cs="Arial"/>
          <w:color w:val="FF0000"/>
          <w:sz w:val="20"/>
          <w:szCs w:val="20"/>
          <w:lang w:eastAsia="pt-BR"/>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Times New Roman" w:hAnsi="Arial" w:cs="Arial"/>
          <w:b/>
          <w:bCs/>
          <w:color w:val="FF0000"/>
          <w:sz w:val="20"/>
          <w:szCs w:val="20"/>
          <w:lang w:eastAsia="pt-BR"/>
        </w:rPr>
        <w:t xml:space="preserve">3.3. </w:t>
      </w:r>
      <w:r w:rsidRPr="00983F71">
        <w:rPr>
          <w:rFonts w:ascii="Arial" w:eastAsia="Times New Roman" w:hAnsi="Arial" w:cs="Arial"/>
          <w:color w:val="FF0000"/>
          <w:sz w:val="20"/>
          <w:szCs w:val="20"/>
          <w:lang w:eastAsia="pt-BR"/>
        </w:rPr>
        <w:t xml:space="preserve">O prazo para </w:t>
      </w:r>
      <w:r w:rsidRPr="00983F71">
        <w:rPr>
          <w:rFonts w:ascii="Arial" w:eastAsia="Calibri" w:hAnsi="Arial" w:cs="Arial"/>
          <w:bCs/>
          <w:iCs/>
          <w:color w:val="FF0000"/>
          <w:sz w:val="20"/>
          <w:szCs w:val="20"/>
        </w:rPr>
        <w:t xml:space="preserve">início da execução do objeto será de </w:t>
      </w:r>
      <w:r w:rsidRPr="00983F71">
        <w:rPr>
          <w:rFonts w:ascii="Arial" w:eastAsia="Calibri" w:hAnsi="Arial" w:cs="Arial"/>
          <w:bCs/>
          <w:iCs/>
          <w:color w:val="FF0000"/>
          <w:sz w:val="20"/>
          <w:szCs w:val="20"/>
          <w:highlight w:val="yellow"/>
        </w:rPr>
        <w:t>............ (dias/meses)</w:t>
      </w:r>
      <w:r w:rsidRPr="00983F71">
        <w:rPr>
          <w:rFonts w:ascii="Arial" w:eastAsia="Calibri" w:hAnsi="Arial" w:cs="Arial"/>
          <w:bCs/>
          <w:iCs/>
          <w:color w:val="FF0000"/>
          <w:sz w:val="20"/>
          <w:szCs w:val="20"/>
        </w:rPr>
        <w:t xml:space="preserve">, a contar da data de assinatura da ordem de início do serviço a ser expedida pela contratante. </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3.4.</w:t>
      </w:r>
      <w:r w:rsidRPr="00983F71">
        <w:rPr>
          <w:rFonts w:ascii="Arial" w:eastAsia="Calibri" w:hAnsi="Arial" w:cs="Arial"/>
          <w:bCs/>
          <w:iCs/>
          <w:color w:val="FF0000"/>
          <w:sz w:val="20"/>
          <w:szCs w:val="20"/>
        </w:rPr>
        <w:t xml:space="preserve"> O serviço deverá ser executado na </w:t>
      </w:r>
      <w:r w:rsidRPr="00983F71">
        <w:rPr>
          <w:rFonts w:ascii="Arial" w:eastAsia="Calibri" w:hAnsi="Arial" w:cs="Arial"/>
          <w:bCs/>
          <w:iCs/>
          <w:color w:val="FF0000"/>
          <w:sz w:val="20"/>
          <w:szCs w:val="20"/>
          <w:highlight w:val="yellow"/>
        </w:rPr>
        <w:t>(localidade)</w:t>
      </w:r>
      <w:r w:rsidRPr="00983F71">
        <w:rPr>
          <w:rFonts w:ascii="Arial" w:eastAsia="Calibri" w:hAnsi="Arial" w:cs="Arial"/>
          <w:bCs/>
          <w:iCs/>
          <w:color w:val="FF0000"/>
          <w:sz w:val="20"/>
          <w:szCs w:val="20"/>
        </w:rPr>
        <w:t xml:space="preserve">, de </w:t>
      </w:r>
      <w:r w:rsidRPr="00983F71">
        <w:rPr>
          <w:rFonts w:ascii="Arial" w:eastAsia="Calibri" w:hAnsi="Arial" w:cs="Arial"/>
          <w:bCs/>
          <w:iCs/>
          <w:color w:val="FF0000"/>
          <w:sz w:val="20"/>
          <w:szCs w:val="20"/>
          <w:highlight w:val="yellow"/>
        </w:rPr>
        <w:t>(segunda à sexta-feira),</w:t>
      </w:r>
      <w:r w:rsidRPr="00983F71">
        <w:rPr>
          <w:rFonts w:ascii="Arial" w:eastAsia="Calibri" w:hAnsi="Arial" w:cs="Arial"/>
          <w:bCs/>
          <w:iCs/>
          <w:color w:val="FF0000"/>
          <w:sz w:val="20"/>
          <w:szCs w:val="20"/>
        </w:rPr>
        <w:t xml:space="preserve"> no horário de funcionamento compreendido dentre às </w:t>
      </w:r>
      <w:r w:rsidRPr="00983F71">
        <w:rPr>
          <w:rFonts w:ascii="Arial" w:eastAsia="Calibri" w:hAnsi="Arial" w:cs="Arial"/>
          <w:bCs/>
          <w:iCs/>
          <w:color w:val="FF0000"/>
          <w:sz w:val="20"/>
          <w:szCs w:val="20"/>
          <w:highlight w:val="yellow"/>
        </w:rPr>
        <w:t>xx</w:t>
      </w:r>
      <w:r w:rsidRPr="00983F71">
        <w:rPr>
          <w:rFonts w:ascii="Arial" w:eastAsia="Calibri" w:hAnsi="Arial" w:cs="Arial"/>
          <w:bCs/>
          <w:iCs/>
          <w:color w:val="FF0000"/>
          <w:sz w:val="20"/>
          <w:szCs w:val="20"/>
        </w:rPr>
        <w:t xml:space="preserve"> horas às </w:t>
      </w:r>
      <w:r w:rsidRPr="00983F71">
        <w:rPr>
          <w:rFonts w:ascii="Arial" w:eastAsia="Calibri" w:hAnsi="Arial" w:cs="Arial"/>
          <w:bCs/>
          <w:iCs/>
          <w:color w:val="FF0000"/>
          <w:sz w:val="20"/>
          <w:szCs w:val="20"/>
          <w:highlight w:val="yellow"/>
        </w:rPr>
        <w:t>xx</w:t>
      </w:r>
      <w:r w:rsidRPr="00983F71">
        <w:rPr>
          <w:rFonts w:ascii="Arial" w:eastAsia="Calibri" w:hAnsi="Arial" w:cs="Arial"/>
          <w:bCs/>
          <w:iCs/>
          <w:color w:val="FF0000"/>
          <w:sz w:val="20"/>
          <w:szCs w:val="20"/>
        </w:rPr>
        <w:t xml:space="preserve"> horas. </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3.5.</w:t>
      </w:r>
      <w:r w:rsidRPr="00983F71">
        <w:rPr>
          <w:rFonts w:ascii="Arial" w:eastAsia="Calibri" w:hAnsi="Arial" w:cs="Arial"/>
          <w:bCs/>
          <w:iCs/>
          <w:color w:val="FF0000"/>
          <w:sz w:val="20"/>
          <w:szCs w:val="20"/>
        </w:rPr>
        <w:t xml:space="preserve"> Além daqueles inerentes ao serviço, a contratada deverá disponibilizar os seguintes materiais, equipamentos e peças, novos e genuínos, nas quantidades e qualidades indicadas: </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Cs/>
          <w:iCs/>
          <w:color w:val="FF0000"/>
          <w:sz w:val="20"/>
          <w:szCs w:val="20"/>
        </w:rPr>
        <w:t xml:space="preserve">a) </w:t>
      </w:r>
      <w:r w:rsidRPr="00983F71">
        <w:rPr>
          <w:rFonts w:ascii="Arial" w:eastAsia="Calibri" w:hAnsi="Arial" w:cs="Arial"/>
          <w:bCs/>
          <w:iCs/>
          <w:color w:val="FF0000"/>
          <w:sz w:val="20"/>
          <w:szCs w:val="20"/>
          <w:highlight w:val="yellow"/>
        </w:rPr>
        <w:t>(descrever o material/equipamento, fixar a previsão da estimativa de consumo e padrões mínimos de qualidade);</w:t>
      </w:r>
    </w:p>
    <w:p w:rsidR="00983F71" w:rsidRPr="00983F71" w:rsidRDefault="00983F71" w:rsidP="00983F71">
      <w:pPr>
        <w:spacing w:after="0" w:line="240" w:lineRule="auto"/>
        <w:contextualSpacing/>
        <w:jc w:val="both"/>
        <w:rPr>
          <w:rFonts w:ascii="Arial" w:eastAsia="Calibri" w:hAnsi="Arial" w:cs="Arial"/>
          <w:bCs/>
          <w:iCs/>
          <w:color w:val="FF0000"/>
          <w:sz w:val="20"/>
          <w:szCs w:val="20"/>
          <w:highlight w:val="yellow"/>
        </w:rPr>
      </w:pPr>
      <w:r w:rsidRPr="00983F71">
        <w:rPr>
          <w:rFonts w:ascii="Arial" w:eastAsia="Calibri" w:hAnsi="Arial" w:cs="Arial"/>
          <w:bCs/>
          <w:iCs/>
          <w:color w:val="FF0000"/>
          <w:sz w:val="20"/>
          <w:szCs w:val="20"/>
          <w:highlight w:val="yellow"/>
        </w:rPr>
        <w:t xml:space="preserve">b).....; </w:t>
      </w:r>
    </w:p>
    <w:p w:rsidR="00983F71" w:rsidRPr="00983F71" w:rsidRDefault="00983F71" w:rsidP="00983F71">
      <w:pPr>
        <w:spacing w:after="0" w:line="240" w:lineRule="auto"/>
        <w:contextualSpacing/>
        <w:jc w:val="both"/>
        <w:rPr>
          <w:rFonts w:ascii="Arial" w:eastAsia="Calibri" w:hAnsi="Arial" w:cs="Arial"/>
          <w:bCs/>
          <w:iCs/>
          <w:color w:val="FF0000"/>
          <w:sz w:val="20"/>
          <w:szCs w:val="20"/>
          <w:highlight w:val="yellow"/>
        </w:rPr>
      </w:pPr>
      <w:r w:rsidRPr="00983F71">
        <w:rPr>
          <w:rFonts w:ascii="Arial" w:eastAsia="Calibri" w:hAnsi="Arial" w:cs="Arial"/>
          <w:bCs/>
          <w:iCs/>
          <w:color w:val="FF0000"/>
          <w:sz w:val="20"/>
          <w:szCs w:val="20"/>
          <w:highlight w:val="yellow"/>
        </w:rPr>
        <w:t>c).....;</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Cs/>
          <w:iCs/>
          <w:color w:val="FF0000"/>
          <w:sz w:val="20"/>
          <w:szCs w:val="20"/>
          <w:highlight w:val="yellow"/>
        </w:rPr>
        <w:t>d) (etc.)</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
          <w:iCs/>
          <w:color w:val="FF0000"/>
          <w:sz w:val="20"/>
          <w:szCs w:val="20"/>
        </w:rPr>
      </w:pPr>
      <w:r w:rsidRPr="00983F71">
        <w:rPr>
          <w:rFonts w:ascii="Arial" w:eastAsia="Calibri" w:hAnsi="Arial" w:cs="Arial"/>
          <w:b/>
          <w:iCs/>
          <w:color w:val="FF0000"/>
          <w:sz w:val="20"/>
          <w:szCs w:val="20"/>
          <w:highlight w:val="yellow"/>
        </w:rPr>
        <w:t>OU</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3.5.</w:t>
      </w:r>
      <w:r w:rsidRPr="00983F71">
        <w:rPr>
          <w:rFonts w:ascii="Arial" w:eastAsia="Calibri" w:hAnsi="Arial" w:cs="Arial"/>
          <w:bCs/>
          <w:iCs/>
          <w:color w:val="FF0000"/>
          <w:sz w:val="20"/>
          <w:szCs w:val="20"/>
        </w:rPr>
        <w:t xml:space="preserve"> Sem prejuízo daqueles inerentes ao serviço, a contratada deverá disponibilizar todos os materiais, equipamentos e peças necessários, novos e genuínos, exceto os seguintes: </w:t>
      </w:r>
    </w:p>
    <w:p w:rsidR="00983F71" w:rsidRPr="00983F71" w:rsidRDefault="00983F71" w:rsidP="00983F71">
      <w:pPr>
        <w:spacing w:after="0" w:line="240" w:lineRule="auto"/>
        <w:contextualSpacing/>
        <w:jc w:val="both"/>
        <w:rPr>
          <w:rFonts w:ascii="Arial" w:eastAsia="Calibri" w:hAnsi="Arial" w:cs="Arial"/>
          <w:bCs/>
          <w:iCs/>
          <w:color w:val="FF0000"/>
          <w:sz w:val="20"/>
          <w:szCs w:val="20"/>
          <w:highlight w:val="yellow"/>
        </w:rPr>
      </w:pPr>
      <w:r w:rsidRPr="00983F71">
        <w:rPr>
          <w:rFonts w:ascii="Arial" w:eastAsia="Calibri" w:hAnsi="Arial" w:cs="Arial"/>
          <w:bCs/>
          <w:iCs/>
          <w:color w:val="FF0000"/>
          <w:sz w:val="20"/>
          <w:szCs w:val="20"/>
          <w:highlight w:val="yellow"/>
        </w:rPr>
        <w:t>a).....;</w:t>
      </w:r>
    </w:p>
    <w:p w:rsidR="00983F71" w:rsidRPr="00983F71" w:rsidRDefault="00983F71" w:rsidP="00983F71">
      <w:pPr>
        <w:spacing w:after="0" w:line="240" w:lineRule="auto"/>
        <w:contextualSpacing/>
        <w:jc w:val="both"/>
        <w:rPr>
          <w:rFonts w:ascii="Arial" w:eastAsia="Calibri" w:hAnsi="Arial" w:cs="Arial"/>
          <w:bCs/>
          <w:iCs/>
          <w:color w:val="FF0000"/>
          <w:sz w:val="20"/>
          <w:szCs w:val="20"/>
          <w:highlight w:val="yellow"/>
        </w:rPr>
      </w:pPr>
      <w:r w:rsidRPr="00983F71">
        <w:rPr>
          <w:rFonts w:ascii="Arial" w:eastAsia="Calibri" w:hAnsi="Arial" w:cs="Arial"/>
          <w:bCs/>
          <w:iCs/>
          <w:color w:val="FF0000"/>
          <w:sz w:val="20"/>
          <w:szCs w:val="20"/>
          <w:highlight w:val="yellow"/>
        </w:rPr>
        <w:t>b).....;</w:t>
      </w:r>
    </w:p>
    <w:p w:rsidR="00983F71" w:rsidRPr="00983F71" w:rsidRDefault="00983F71" w:rsidP="00983F71">
      <w:pPr>
        <w:spacing w:after="0" w:line="240" w:lineRule="auto"/>
        <w:contextualSpacing/>
        <w:jc w:val="both"/>
        <w:rPr>
          <w:rFonts w:ascii="Arial" w:eastAsia="Calibri" w:hAnsi="Arial" w:cs="Arial"/>
          <w:bCs/>
          <w:iCs/>
          <w:color w:val="FF0000"/>
          <w:sz w:val="20"/>
          <w:szCs w:val="20"/>
          <w:highlight w:val="yellow"/>
        </w:rPr>
      </w:pPr>
      <w:r w:rsidRPr="00983F71">
        <w:rPr>
          <w:rFonts w:ascii="Arial" w:eastAsia="Calibri" w:hAnsi="Arial" w:cs="Arial"/>
          <w:bCs/>
          <w:iCs/>
          <w:color w:val="FF0000"/>
          <w:sz w:val="20"/>
          <w:szCs w:val="20"/>
          <w:highlight w:val="yellow"/>
        </w:rPr>
        <w:t>c).....;</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Cs/>
          <w:iCs/>
          <w:color w:val="FF0000"/>
          <w:sz w:val="20"/>
          <w:szCs w:val="20"/>
          <w:highlight w:val="yellow"/>
        </w:rPr>
        <w:t>d) (etc.).</w:t>
      </w:r>
    </w:p>
    <w:p w:rsidR="00983F71" w:rsidRPr="00983F71" w:rsidRDefault="00983F71" w:rsidP="00983F71">
      <w:pPr>
        <w:spacing w:after="0" w:line="240" w:lineRule="auto"/>
        <w:jc w:val="both"/>
        <w:rPr>
          <w:rFonts w:ascii="Arial" w:eastAsia="Calibri" w:hAnsi="Arial" w:cs="Arial"/>
          <w:b/>
          <w:iCs/>
          <w:color w:val="FF0000"/>
          <w:sz w:val="20"/>
          <w:szCs w:val="20"/>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Calibri" w:hAnsi="Arial" w:cs="Arial"/>
          <w:b/>
          <w:iCs/>
          <w:color w:val="FF0000"/>
          <w:sz w:val="20"/>
          <w:szCs w:val="20"/>
        </w:rPr>
        <w:t>3.6.</w:t>
      </w:r>
      <w:r w:rsidRPr="00983F71">
        <w:rPr>
          <w:rFonts w:ascii="Arial" w:eastAsia="Calibri" w:hAnsi="Arial" w:cs="Arial"/>
          <w:bCs/>
          <w:iCs/>
          <w:color w:val="FF0000"/>
          <w:sz w:val="20"/>
          <w:szCs w:val="20"/>
        </w:rPr>
        <w:t xml:space="preserve"> </w:t>
      </w:r>
      <w:r w:rsidRPr="00983F71">
        <w:rPr>
          <w:rFonts w:ascii="Arial" w:eastAsia="Times New Roman" w:hAnsi="Arial" w:cs="Arial"/>
          <w:color w:val="FF0000"/>
          <w:sz w:val="20"/>
          <w:szCs w:val="24"/>
          <w:lang w:eastAsia="pt-BR"/>
        </w:rPr>
        <w:t>O recebimento do serviço se efetivará, em conformidade com os arts. 73 a 76 da Lei 8.666/93, nos seguintes termos:</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3.6.1.</w:t>
      </w:r>
      <w:r w:rsidRPr="00983F71">
        <w:rPr>
          <w:rFonts w:ascii="Arial" w:eastAsia="Calibri" w:hAnsi="Arial" w:cs="Arial"/>
          <w:bCs/>
          <w:iCs/>
          <w:color w:val="FF0000"/>
          <w:sz w:val="20"/>
          <w:szCs w:val="20"/>
        </w:rPr>
        <w:t xml:space="preserve"> Em cada uma de suas parcelas mensais, será recebido provisoriamente pelo responsável pelo acompanhamento e fiscalização do contrato no prazo de até </w:t>
      </w:r>
      <w:r w:rsidRPr="00983F71">
        <w:rPr>
          <w:rFonts w:ascii="Arial" w:eastAsia="Calibri" w:hAnsi="Arial" w:cs="Arial"/>
          <w:bCs/>
          <w:iCs/>
          <w:color w:val="FF0000"/>
          <w:sz w:val="20"/>
          <w:szCs w:val="20"/>
          <w:highlight w:val="yellow"/>
        </w:rPr>
        <w:t>.............. (...........)</w:t>
      </w:r>
      <w:r w:rsidRPr="00983F71">
        <w:rPr>
          <w:rFonts w:ascii="Arial" w:eastAsia="Calibri" w:hAnsi="Arial" w:cs="Arial"/>
          <w:bCs/>
          <w:iCs/>
          <w:color w:val="FF0000"/>
          <w:sz w:val="20"/>
          <w:szCs w:val="20"/>
        </w:rPr>
        <w:t xml:space="preserve"> dias,</w:t>
      </w:r>
      <w:r w:rsidRPr="00983F71">
        <w:rPr>
          <w:rFonts w:ascii="Arial" w:eastAsia="Times New Roman" w:hAnsi="Arial" w:cs="Tahoma"/>
          <w:sz w:val="20"/>
          <w:szCs w:val="24"/>
          <w:lang w:eastAsia="pt-BR"/>
        </w:rPr>
        <w:t xml:space="preserve"> </w:t>
      </w:r>
      <w:r w:rsidRPr="00983F71">
        <w:rPr>
          <w:rFonts w:ascii="Arial" w:eastAsia="Calibri" w:hAnsi="Arial" w:cs="Arial"/>
          <w:bCs/>
          <w:iCs/>
          <w:color w:val="FF0000"/>
          <w:sz w:val="20"/>
          <w:szCs w:val="20"/>
        </w:rPr>
        <w:t>contados da data de recepção pela Administração do relatório de execução dos serviços do mês, acompanhado da nota fiscal/fatura representativa da prestação dos serviços.</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3.6.1.1.</w:t>
      </w:r>
      <w:r w:rsidRPr="00983F71">
        <w:rPr>
          <w:rFonts w:ascii="Arial" w:eastAsia="Calibri" w:hAnsi="Arial" w:cs="Arial"/>
          <w:bCs/>
          <w:iCs/>
          <w:color w:val="FF0000"/>
          <w:sz w:val="20"/>
          <w:szCs w:val="20"/>
        </w:rPr>
        <w:t xml:space="preserve"> Quando em desacordo com as especificações constantes no termo de referência e na proposta, os serviços poderão ser corrigidos ou refeitos ou substituídos no prazo fixado pelo fiscal do contrato, às custas do contratado, e no caso de não serem atendidas as determinações deverão ser rejeitados.</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3.6.1.2.</w:t>
      </w:r>
      <w:r w:rsidRPr="00983F71">
        <w:rPr>
          <w:rFonts w:ascii="Arial" w:eastAsia="Calibri" w:hAnsi="Arial" w:cs="Arial"/>
          <w:bCs/>
          <w:iCs/>
          <w:color w:val="FF0000"/>
          <w:sz w:val="20"/>
          <w:szCs w:val="20"/>
        </w:rPr>
        <w:t xml:space="preserve"> Cabe ao fiscal do contrato avaliar o caso concreto para o fim de fixar prazo para as correções.</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3.6.1.3.</w:t>
      </w:r>
      <w:r w:rsidRPr="00983F71">
        <w:rPr>
          <w:rFonts w:ascii="Arial" w:eastAsia="Calibri" w:hAnsi="Arial" w:cs="Arial"/>
          <w:bCs/>
          <w:iCs/>
          <w:color w:val="FF0000"/>
          <w:sz w:val="20"/>
          <w:szCs w:val="20"/>
        </w:rPr>
        <w:t xml:space="preserve"> Na impossibilidade de serem refeitos os serviços ou na hipótese de não serem os mesmos executados, o valor respectivo será descontado da importância mensal devida à contratada, sem prejuízo da aplicação das sanções cabíveis.</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3.6.2.</w:t>
      </w:r>
      <w:r w:rsidRPr="00983F71">
        <w:rPr>
          <w:rFonts w:ascii="Arial" w:eastAsia="Calibri" w:hAnsi="Arial" w:cs="Arial"/>
          <w:bCs/>
          <w:iCs/>
          <w:color w:val="FF0000"/>
          <w:sz w:val="20"/>
          <w:szCs w:val="20"/>
        </w:rPr>
        <w:t xml:space="preserve"> O recebimento definitivo dar-se-á no prazo de </w:t>
      </w:r>
      <w:r w:rsidRPr="00983F71">
        <w:rPr>
          <w:rFonts w:ascii="Arial" w:eastAsia="Calibri" w:hAnsi="Arial" w:cs="Arial"/>
          <w:bCs/>
          <w:iCs/>
          <w:color w:val="FF0000"/>
          <w:sz w:val="20"/>
          <w:szCs w:val="20"/>
          <w:highlight w:val="yellow"/>
        </w:rPr>
        <w:t>.......... (..........)</w:t>
      </w:r>
      <w:r w:rsidRPr="00983F71">
        <w:rPr>
          <w:rFonts w:ascii="Arial" w:eastAsia="Calibri" w:hAnsi="Arial" w:cs="Arial"/>
          <w:bCs/>
          <w:iCs/>
          <w:color w:val="FF0000"/>
          <w:sz w:val="20"/>
          <w:szCs w:val="20"/>
        </w:rPr>
        <w:t xml:space="preserve"> dias do recebimento provisório ou da data de conclusão das correções efetuadas com base no disposto no item 3.6.1.1, após a verificação da qualidade e quantidade do serviço executado e materiais empregados, mediante termo de recebimento definitivo ou recibo.</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3.6.3.</w:t>
      </w:r>
      <w:r w:rsidRPr="00983F71">
        <w:rPr>
          <w:rFonts w:ascii="Arial" w:eastAsia="Calibri" w:hAnsi="Arial" w:cs="Arial"/>
          <w:bCs/>
          <w:iCs/>
          <w:color w:val="FF0000"/>
          <w:sz w:val="20"/>
          <w:szCs w:val="20"/>
        </w:rPr>
        <w:t xml:space="preserve"> Na hipótese da verificação a que se refere o subitem 3.6.2 não ser procedida dentro do prazo fixado, reputar-se-á como realizada, consumando-se o recebimento definitivo no dia do esgotamento do prazo.</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3.6.4.</w:t>
      </w:r>
      <w:r w:rsidRPr="00983F71">
        <w:rPr>
          <w:rFonts w:ascii="Arial" w:eastAsia="Calibri" w:hAnsi="Arial" w:cs="Arial"/>
          <w:bCs/>
          <w:iCs/>
          <w:color w:val="FF0000"/>
          <w:sz w:val="20"/>
          <w:szCs w:val="20"/>
        </w:rPr>
        <w:t xml:space="preserve"> O recebimento provisório ou definitivo do objeto não exclui a responsabilidade do contratado pelos prejuízos resultantes da incorreta execução do contrato.</w:t>
      </w:r>
    </w:p>
    <w:p w:rsidR="00983F71" w:rsidRPr="00983F71" w:rsidRDefault="00983F71" w:rsidP="00983F71">
      <w:pPr>
        <w:spacing w:after="0" w:line="240" w:lineRule="auto"/>
        <w:contextualSpacing/>
        <w:jc w:val="both"/>
        <w:rPr>
          <w:rFonts w:ascii="Arial" w:eastAsia="Calibri" w:hAnsi="Arial" w:cs="Arial"/>
          <w:bCs/>
          <w:iCs/>
          <w:sz w:val="20"/>
          <w:szCs w:val="20"/>
        </w:rPr>
      </w:pPr>
    </w:p>
    <w:p w:rsidR="00983F71" w:rsidRPr="00983F71" w:rsidRDefault="00983F71" w:rsidP="00983F71">
      <w:pPr>
        <w:spacing w:after="0" w:line="240" w:lineRule="auto"/>
        <w:contextualSpacing/>
        <w:jc w:val="both"/>
        <w:rPr>
          <w:rFonts w:ascii="Arial" w:eastAsia="Calibri" w:hAnsi="Arial" w:cs="Arial"/>
          <w:b/>
          <w:iCs/>
          <w:color w:val="FF0000"/>
          <w:sz w:val="20"/>
          <w:szCs w:val="20"/>
        </w:rPr>
      </w:pPr>
      <w:r w:rsidRPr="00983F71">
        <w:rPr>
          <w:rFonts w:ascii="Arial" w:eastAsia="Calibri" w:hAnsi="Arial" w:cs="Arial"/>
          <w:b/>
          <w:iCs/>
          <w:color w:val="FF0000"/>
          <w:sz w:val="20"/>
          <w:szCs w:val="20"/>
          <w:highlight w:val="yellow"/>
        </w:rPr>
        <w:t>OU</w:t>
      </w:r>
    </w:p>
    <w:p w:rsidR="00983F71" w:rsidRPr="00983F71" w:rsidRDefault="00983F71" w:rsidP="00983F71">
      <w:pPr>
        <w:spacing w:after="0" w:line="240" w:lineRule="auto"/>
        <w:contextualSpacing/>
        <w:jc w:val="both"/>
        <w:rPr>
          <w:rFonts w:ascii="Arial" w:eastAsia="Calibri" w:hAnsi="Arial" w:cs="Arial"/>
          <w:bCs/>
          <w:iCs/>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Calibri" w:hAnsi="Arial" w:cs="Arial"/>
          <w:b/>
          <w:sz w:val="20"/>
          <w:szCs w:val="20"/>
        </w:rPr>
      </w:pPr>
      <w:r w:rsidRPr="00983F71">
        <w:rPr>
          <w:rFonts w:ascii="Arial" w:eastAsia="Calibri" w:hAnsi="Arial" w:cs="Arial"/>
          <w:b/>
          <w:bCs/>
          <w:sz w:val="20"/>
          <w:szCs w:val="20"/>
        </w:rPr>
        <w:t>Nota explicativa</w:t>
      </w:r>
      <w:r w:rsidRPr="00983F71">
        <w:rPr>
          <w:rFonts w:ascii="Arial" w:eastAsia="Calibri" w:hAnsi="Arial" w:cs="Arial"/>
          <w:sz w:val="20"/>
          <w:szCs w:val="20"/>
        </w:rPr>
        <w:t>: A redação abaixo deve ser adotada para o recebimento do objeto quando o regime de execução for a EMPREITADA POR PREÇO UNITÁRIO.</w:t>
      </w:r>
    </w:p>
    <w:p w:rsidR="00983F71" w:rsidRPr="00983F71" w:rsidRDefault="00983F71" w:rsidP="00983F71">
      <w:pPr>
        <w:spacing w:after="0" w:line="240" w:lineRule="auto"/>
        <w:contextualSpacing/>
        <w:jc w:val="both"/>
        <w:rPr>
          <w:rFonts w:ascii="Arial" w:eastAsia="Calibri" w:hAnsi="Arial" w:cs="Arial"/>
          <w:bCs/>
          <w:iCs/>
          <w:sz w:val="20"/>
          <w:szCs w:val="20"/>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Calibri" w:hAnsi="Arial" w:cs="Arial"/>
          <w:b/>
          <w:iCs/>
          <w:color w:val="FF0000"/>
          <w:sz w:val="20"/>
          <w:szCs w:val="20"/>
        </w:rPr>
        <w:t>3.6.</w:t>
      </w:r>
      <w:r w:rsidRPr="00983F71">
        <w:rPr>
          <w:rFonts w:ascii="Arial" w:eastAsia="Calibri" w:hAnsi="Arial" w:cs="Arial"/>
          <w:bCs/>
          <w:iCs/>
          <w:color w:val="FF0000"/>
          <w:sz w:val="20"/>
          <w:szCs w:val="20"/>
        </w:rPr>
        <w:t xml:space="preserve"> </w:t>
      </w:r>
      <w:r w:rsidRPr="00983F71">
        <w:rPr>
          <w:rFonts w:ascii="Arial" w:eastAsia="Times New Roman" w:hAnsi="Arial" w:cs="Arial"/>
          <w:color w:val="FF0000"/>
          <w:sz w:val="20"/>
          <w:szCs w:val="24"/>
          <w:lang w:eastAsia="pt-BR"/>
        </w:rPr>
        <w:t>O recebimento do serviço se efetivará, em conformidade com os arts. 73 a 76 da Lei 8.666/93, nos seguintes termos:</w:t>
      </w:r>
    </w:p>
    <w:p w:rsidR="00983F71" w:rsidRPr="00983F71" w:rsidRDefault="00983F71" w:rsidP="00983F71">
      <w:pPr>
        <w:spacing w:after="0" w:line="240" w:lineRule="auto"/>
        <w:contextualSpacing/>
        <w:jc w:val="both"/>
        <w:rPr>
          <w:rFonts w:ascii="Arial" w:eastAsia="Calibri" w:hAnsi="Arial" w:cs="Arial"/>
          <w:bCs/>
          <w:iCs/>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3.6.1.</w:t>
      </w:r>
      <w:r w:rsidRPr="00983F71">
        <w:rPr>
          <w:rFonts w:ascii="Arial" w:eastAsia="Calibri" w:hAnsi="Arial" w:cs="Arial"/>
          <w:bCs/>
          <w:iCs/>
          <w:color w:val="FF0000"/>
          <w:sz w:val="20"/>
          <w:szCs w:val="20"/>
        </w:rPr>
        <w:t xml:space="preserve"> Os serviços executados serão objeto de medição mensal, de acordo com os seguintes procedimentos: </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3.6.1.1.</w:t>
      </w:r>
      <w:r w:rsidRPr="00983F71">
        <w:rPr>
          <w:rFonts w:ascii="Arial" w:eastAsia="Calibri" w:hAnsi="Arial" w:cs="Arial"/>
          <w:bCs/>
          <w:iCs/>
          <w:color w:val="FF0000"/>
          <w:sz w:val="20"/>
          <w:szCs w:val="20"/>
        </w:rPr>
        <w:t xml:space="preserve"> No primeiro dia útil subsequente ao mês em que forem prestados os serviços, a contratada entregará relatório contendo os quantitativos totais de cada um dos tipos de serviços realizados e os respectivos valores apurados.</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lastRenderedPageBreak/>
        <w:t>3.6.1.2.</w:t>
      </w:r>
      <w:r w:rsidRPr="00983F71">
        <w:rPr>
          <w:rFonts w:ascii="Arial" w:eastAsia="Calibri" w:hAnsi="Arial" w:cs="Arial"/>
          <w:bCs/>
          <w:iCs/>
          <w:color w:val="FF0000"/>
          <w:sz w:val="20"/>
          <w:szCs w:val="20"/>
        </w:rPr>
        <w:t xml:space="preserve"> A contratante solicitará à contratada, na hipótese de glosas e/ou incorreções de valores, a correspondente retificação objetivando a emissão da nota fiscal/fatura.</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3.6.1.3.</w:t>
      </w:r>
      <w:r w:rsidRPr="00983F71">
        <w:rPr>
          <w:rFonts w:ascii="Arial" w:eastAsia="Calibri" w:hAnsi="Arial" w:cs="Arial"/>
          <w:bCs/>
          <w:iCs/>
          <w:color w:val="FF0000"/>
          <w:sz w:val="20"/>
          <w:szCs w:val="20"/>
        </w:rPr>
        <w:t xml:space="preserve"> Serão considerados somente os serviços efetivamente realizados e apurados da seguinte forma:</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a)</w:t>
      </w:r>
      <w:r w:rsidRPr="00983F71">
        <w:rPr>
          <w:rFonts w:ascii="Arial" w:eastAsia="Calibri" w:hAnsi="Arial" w:cs="Arial"/>
          <w:bCs/>
          <w:iCs/>
          <w:color w:val="FF0000"/>
          <w:sz w:val="20"/>
          <w:szCs w:val="20"/>
        </w:rPr>
        <w:t xml:space="preserve"> O valor dos pagamentos será obtido mediante a aplicação dos preços unitários contratados às correspondentes quantidades de serviços efetivamente executados, aplicando-se eventual desconto em função do controle (qualidade/quantidade) dos serviços, se for o caso;</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b)</w:t>
      </w:r>
      <w:r w:rsidRPr="00983F71">
        <w:rPr>
          <w:rFonts w:ascii="Arial" w:eastAsia="Calibri" w:hAnsi="Arial" w:cs="Arial"/>
          <w:bCs/>
          <w:iCs/>
          <w:color w:val="FF0000"/>
          <w:sz w:val="20"/>
          <w:szCs w:val="20"/>
        </w:rPr>
        <w:t xml:space="preserve"> A realização dos descontos indicados na alínea “a” não prejudica a aplicação de sanções à contratada em virtude da inexecução dos serviços.</w:t>
      </w: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iCs/>
          <w:color w:val="FF0000"/>
          <w:sz w:val="20"/>
          <w:szCs w:val="20"/>
        </w:rPr>
        <w:t>3.6.2.</w:t>
      </w:r>
      <w:r w:rsidRPr="00983F71">
        <w:rPr>
          <w:rFonts w:ascii="Arial" w:eastAsia="Calibri" w:hAnsi="Arial" w:cs="Arial"/>
          <w:bCs/>
          <w:iCs/>
          <w:color w:val="FF0000"/>
          <w:sz w:val="20"/>
          <w:szCs w:val="20"/>
        </w:rPr>
        <w:t xml:space="preserve"> Após a conferência dos quantitativos e valores apresentados, a contratante atestará a medição mensal, no prazo de </w:t>
      </w:r>
      <w:r w:rsidRPr="00983F71">
        <w:rPr>
          <w:rFonts w:ascii="Arial" w:eastAsia="Calibri" w:hAnsi="Arial" w:cs="Arial"/>
          <w:bCs/>
          <w:iCs/>
          <w:color w:val="FF0000"/>
          <w:sz w:val="20"/>
          <w:szCs w:val="20"/>
          <w:highlight w:val="yellow"/>
        </w:rPr>
        <w:t>.............(..........)</w:t>
      </w:r>
      <w:r w:rsidRPr="00983F71">
        <w:rPr>
          <w:rFonts w:ascii="Arial" w:eastAsia="Calibri" w:hAnsi="Arial" w:cs="Arial"/>
          <w:bCs/>
          <w:iCs/>
          <w:color w:val="FF0000"/>
          <w:sz w:val="20"/>
          <w:szCs w:val="20"/>
        </w:rPr>
        <w:t xml:space="preserve"> dias, contados do recebimento do relatório, comunicando à contratada o valor aprovado e autorizando a emissão da correspondente nota fiscal/fatura.</w:t>
      </w:r>
    </w:p>
    <w:p w:rsidR="00983F71" w:rsidRPr="00983F71" w:rsidRDefault="00983F71" w:rsidP="00983F71">
      <w:pPr>
        <w:spacing w:after="0" w:line="240" w:lineRule="auto"/>
        <w:contextualSpacing/>
        <w:jc w:val="both"/>
        <w:rPr>
          <w:rFonts w:ascii="Arial" w:eastAsia="Calibri" w:hAnsi="Arial" w:cs="Arial"/>
          <w:bCs/>
          <w:iCs/>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contextualSpacing/>
        <w:jc w:val="both"/>
        <w:rPr>
          <w:rFonts w:ascii="Arial" w:eastAsia="Calibri" w:hAnsi="Arial" w:cs="Arial"/>
          <w:bCs/>
          <w:iCs/>
          <w:sz w:val="20"/>
          <w:szCs w:val="20"/>
        </w:rPr>
      </w:pPr>
      <w:r w:rsidRPr="00983F71">
        <w:rPr>
          <w:rFonts w:ascii="Arial" w:eastAsia="Calibri" w:hAnsi="Arial" w:cs="Arial"/>
          <w:b/>
          <w:iCs/>
          <w:sz w:val="20"/>
          <w:szCs w:val="20"/>
        </w:rPr>
        <w:t>Nota explicativa 1</w:t>
      </w:r>
      <w:r w:rsidRPr="00983F71">
        <w:rPr>
          <w:rFonts w:ascii="Arial" w:eastAsia="Calibri" w:hAnsi="Arial" w:cs="Arial"/>
          <w:bCs/>
          <w:iCs/>
          <w:sz w:val="20"/>
          <w:szCs w:val="20"/>
        </w:rPr>
        <w:t>: O prazo para o recebimento provisório não pode ser superior a 15 (quinze) dias, nos termos do art. 73, I, “a”, da Lei n. 8.666/93.</w:t>
      </w: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contextualSpacing/>
        <w:jc w:val="both"/>
        <w:rPr>
          <w:rFonts w:ascii="Arial" w:eastAsia="Calibri" w:hAnsi="Arial" w:cs="Arial"/>
          <w:bCs/>
          <w:iCs/>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contextualSpacing/>
        <w:jc w:val="both"/>
        <w:rPr>
          <w:rFonts w:ascii="Arial" w:eastAsia="Calibri" w:hAnsi="Arial" w:cs="Arial"/>
          <w:b/>
          <w:iCs/>
          <w:sz w:val="20"/>
          <w:szCs w:val="20"/>
        </w:rPr>
      </w:pPr>
      <w:r w:rsidRPr="00983F71">
        <w:rPr>
          <w:rFonts w:ascii="Arial" w:eastAsia="Calibri" w:hAnsi="Arial" w:cs="Arial"/>
          <w:b/>
          <w:iCs/>
          <w:sz w:val="20"/>
          <w:szCs w:val="20"/>
        </w:rPr>
        <w:t xml:space="preserve">Nota explicativa 2: </w:t>
      </w:r>
      <w:r w:rsidRPr="00983F71">
        <w:rPr>
          <w:rFonts w:ascii="Arial" w:eastAsia="Calibri" w:hAnsi="Arial" w:cs="Arial"/>
          <w:bCs/>
          <w:iCs/>
          <w:sz w:val="20"/>
          <w:szCs w:val="20"/>
        </w:rPr>
        <w:t>O prazo para o recebimento definitivo não pode ser superior a 90 (noventa) dias, nos termos do art. 73, § 3º, da Lei n. 8.666/93.</w:t>
      </w: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contextualSpacing/>
        <w:jc w:val="both"/>
        <w:rPr>
          <w:rFonts w:ascii="Arial" w:eastAsia="Calibri" w:hAnsi="Arial" w:cs="Arial"/>
          <w:b/>
          <w:iCs/>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contextualSpacing/>
        <w:jc w:val="both"/>
        <w:rPr>
          <w:rFonts w:ascii="Arial" w:eastAsia="Calibri" w:hAnsi="Arial" w:cs="Arial"/>
          <w:bCs/>
          <w:iCs/>
          <w:sz w:val="20"/>
          <w:szCs w:val="20"/>
        </w:rPr>
      </w:pPr>
      <w:r w:rsidRPr="00983F71">
        <w:rPr>
          <w:rFonts w:ascii="Arial" w:eastAsia="Calibri" w:hAnsi="Arial" w:cs="Arial"/>
          <w:b/>
          <w:iCs/>
          <w:sz w:val="20"/>
          <w:szCs w:val="20"/>
        </w:rPr>
        <w:t>Nota explicativa 3:</w:t>
      </w:r>
      <w:r w:rsidRPr="00983F71">
        <w:rPr>
          <w:rFonts w:ascii="Arial" w:eastAsia="Calibri" w:hAnsi="Arial" w:cs="Arial"/>
          <w:bCs/>
          <w:iCs/>
          <w:sz w:val="20"/>
          <w:szCs w:val="20"/>
        </w:rPr>
        <w:t xml:space="preserve"> O recebimento provisório dos serviços que não ultrapassem o limite de valor previsto no art. 23, II, “a”, da Lei n. 8.666/93 pode ser dispensado, desde que não se componham de aparelhos, equipamentos e instalações sujeitos à verificação de funcionamento e produtividade. Nesse caso, o recebimento se dará mediante recibo (art. 74, III e parágrafo único, da Lei n. 8.666/93).</w:t>
      </w:r>
    </w:p>
    <w:p w:rsidR="00983F71" w:rsidRPr="00983F71" w:rsidRDefault="00983F71" w:rsidP="00983F71">
      <w:pPr>
        <w:spacing w:after="0" w:line="240" w:lineRule="auto"/>
        <w:contextualSpacing/>
        <w:jc w:val="both"/>
        <w:rPr>
          <w:rFonts w:ascii="Arial" w:eastAsia="Calibri" w:hAnsi="Arial" w:cs="Arial"/>
          <w:bCs/>
          <w:iCs/>
          <w:sz w:val="20"/>
          <w:szCs w:val="20"/>
        </w:rPr>
      </w:pPr>
    </w:p>
    <w:p w:rsidR="00983F71" w:rsidRPr="00983F71" w:rsidRDefault="00983F71" w:rsidP="00983F71">
      <w:pPr>
        <w:spacing w:after="0" w:line="240" w:lineRule="auto"/>
        <w:contextualSpacing/>
        <w:jc w:val="both"/>
        <w:rPr>
          <w:rFonts w:ascii="Arial" w:eastAsia="Calibri" w:hAnsi="Arial" w:cs="Arial"/>
          <w:bCs/>
          <w:iCs/>
          <w:color w:val="FF0000"/>
          <w:sz w:val="20"/>
          <w:szCs w:val="20"/>
        </w:rPr>
      </w:pPr>
      <w:r w:rsidRPr="00983F71">
        <w:rPr>
          <w:rFonts w:ascii="Arial" w:eastAsia="Calibri" w:hAnsi="Arial" w:cs="Arial"/>
          <w:b/>
          <w:bCs/>
          <w:iCs/>
          <w:color w:val="FF0000"/>
          <w:sz w:val="20"/>
          <w:szCs w:val="20"/>
        </w:rPr>
        <w:t xml:space="preserve">3.7. </w:t>
      </w:r>
      <w:r w:rsidRPr="00983F71">
        <w:rPr>
          <w:rFonts w:ascii="Arial" w:eastAsia="Calibri" w:hAnsi="Arial" w:cs="Arial"/>
          <w:bCs/>
          <w:iCs/>
          <w:color w:val="FF0000"/>
          <w:sz w:val="20"/>
          <w:szCs w:val="20"/>
          <w:highlight w:val="yellow"/>
        </w:rPr>
        <w:t>...</w:t>
      </w:r>
    </w:p>
    <w:p w:rsidR="00983F71" w:rsidRPr="00983F71" w:rsidRDefault="00983F71" w:rsidP="00983F71">
      <w:pPr>
        <w:spacing w:after="0" w:line="240" w:lineRule="auto"/>
        <w:contextualSpacing/>
        <w:jc w:val="both"/>
        <w:rPr>
          <w:rFonts w:ascii="Arial" w:eastAsia="Calibri" w:hAnsi="Arial" w:cs="Arial"/>
          <w:bCs/>
          <w:iCs/>
          <w:sz w:val="20"/>
          <w:szCs w:val="20"/>
        </w:rPr>
      </w:pPr>
    </w:p>
    <w:p w:rsidR="00983F71" w:rsidRPr="00983F71" w:rsidRDefault="00983F71" w:rsidP="00983F71">
      <w:pPr>
        <w:spacing w:after="0" w:line="240" w:lineRule="auto"/>
        <w:contextualSpacing/>
        <w:jc w:val="both"/>
        <w:rPr>
          <w:rFonts w:ascii="Arial" w:eastAsia="Calibri" w:hAnsi="Arial" w:cs="Arial"/>
          <w:bCs/>
          <w:iCs/>
          <w:sz w:val="20"/>
          <w:szCs w:val="20"/>
        </w:rPr>
      </w:pPr>
    </w:p>
    <w:p w:rsidR="00983F71" w:rsidRPr="00983F71" w:rsidRDefault="00983F71" w:rsidP="00983F71">
      <w:pPr>
        <w:spacing w:after="0" w:line="240" w:lineRule="auto"/>
        <w:jc w:val="both"/>
        <w:rPr>
          <w:rFonts w:ascii="Arial" w:eastAsia="Calibri" w:hAnsi="Arial" w:cs="Arial"/>
          <w:b/>
          <w:bCs/>
          <w:sz w:val="20"/>
          <w:szCs w:val="20"/>
        </w:rPr>
      </w:pPr>
      <w:r w:rsidRPr="00983F71">
        <w:rPr>
          <w:rFonts w:ascii="Arial" w:eastAsia="Calibri" w:hAnsi="Arial" w:cs="Arial"/>
          <w:b/>
          <w:bCs/>
          <w:sz w:val="20"/>
          <w:szCs w:val="20"/>
        </w:rPr>
        <w:t>4. ESTIMATIVA DE PREÇO E PREÇOS REFERENCIAIS</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r w:rsidRPr="00983F71">
        <w:rPr>
          <w:rFonts w:ascii="Arial" w:eastAsia="Times New Roman" w:hAnsi="Arial" w:cs="Arial"/>
          <w:b/>
          <w:sz w:val="20"/>
          <w:szCs w:val="24"/>
          <w:lang w:eastAsia="pt-BR"/>
        </w:rPr>
        <w:t xml:space="preserve">4.1. </w:t>
      </w:r>
      <w:r w:rsidRPr="00983F71">
        <w:rPr>
          <w:rFonts w:ascii="Arial" w:eastAsia="Times New Roman" w:hAnsi="Arial" w:cs="Arial"/>
          <w:bCs/>
          <w:color w:val="000000"/>
          <w:sz w:val="20"/>
          <w:szCs w:val="24"/>
          <w:lang w:eastAsia="pt-BR"/>
        </w:rPr>
        <w:t>O procedimento para a pesquisa de preços observará:</w:t>
      </w: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r w:rsidRPr="00983F71">
        <w:rPr>
          <w:rFonts w:ascii="Arial" w:eastAsia="Times New Roman" w:hAnsi="Arial" w:cs="Arial"/>
          <w:b/>
          <w:bCs/>
          <w:color w:val="000000"/>
          <w:sz w:val="20"/>
          <w:szCs w:val="24"/>
          <w:lang w:eastAsia="pt-BR"/>
        </w:rPr>
        <w:t>4.1.1.</w:t>
      </w:r>
      <w:r w:rsidRPr="00983F71">
        <w:rPr>
          <w:rFonts w:ascii="Arial" w:eastAsia="Times New Roman" w:hAnsi="Arial" w:cs="Arial"/>
          <w:bCs/>
          <w:color w:val="000000"/>
          <w:sz w:val="20"/>
          <w:szCs w:val="24"/>
          <w:lang w:eastAsia="pt-BR"/>
        </w:rPr>
        <w:t xml:space="preserve"> O disposto no Decreto Estadual nº </w:t>
      </w:r>
      <w:r w:rsidRPr="00983F71">
        <w:rPr>
          <w:rFonts w:ascii="Arial" w:eastAsia="Times New Roman" w:hAnsi="Arial" w:cs="Arial"/>
          <w:sz w:val="20"/>
          <w:szCs w:val="24"/>
          <w:lang w:eastAsia="pt-BR"/>
        </w:rPr>
        <w:t>15.617/2021</w:t>
      </w:r>
      <w:r w:rsidRPr="00983F71">
        <w:rPr>
          <w:rFonts w:ascii="Arial" w:eastAsia="Times New Roman" w:hAnsi="Arial" w:cs="Arial"/>
          <w:bCs/>
          <w:color w:val="000000"/>
          <w:sz w:val="20"/>
          <w:szCs w:val="24"/>
          <w:lang w:eastAsia="pt-BR"/>
        </w:rPr>
        <w:t>, ou o regulamento estadual correspondente que lhe venha substituir, quando diante de utilização de recurso estadual ou recurso não oriundo de transferência voluntária efetivada pela União;</w:t>
      </w: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r w:rsidRPr="00983F71">
        <w:rPr>
          <w:rFonts w:ascii="Arial" w:eastAsia="Times New Roman" w:hAnsi="Arial" w:cs="Arial"/>
          <w:b/>
          <w:bCs/>
          <w:color w:val="000000"/>
          <w:sz w:val="20"/>
          <w:szCs w:val="24"/>
          <w:lang w:eastAsia="pt-BR"/>
        </w:rPr>
        <w:t>4.1.2.</w:t>
      </w:r>
      <w:r w:rsidRPr="00983F71">
        <w:rPr>
          <w:rFonts w:ascii="Arial" w:eastAsia="Times New Roman" w:hAnsi="Arial" w:cs="Arial"/>
          <w:bCs/>
          <w:color w:val="000000"/>
          <w:sz w:val="20"/>
          <w:szCs w:val="24"/>
          <w:lang w:eastAsia="pt-BR"/>
        </w:rPr>
        <w:t xml:space="preserve"> A IN MPOG n. 73, de 5 de agosto de 2020, ou o regulamento federal correspondente que lhe venha a substituir, na hipótese de utilização de recurso oriundo de transferência voluntária efetivada pela União (convênio).</w:t>
      </w: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4.2.</w:t>
      </w:r>
      <w:r w:rsidRPr="00983F71">
        <w:rPr>
          <w:rFonts w:ascii="Arial" w:eastAsia="Times New Roman" w:hAnsi="Arial" w:cs="Arial"/>
          <w:bCs/>
          <w:color w:val="FF0000"/>
          <w:sz w:val="20"/>
          <w:szCs w:val="24"/>
          <w:lang w:eastAsia="pt-BR"/>
        </w:rPr>
        <w:t xml:space="preserve"> Depois de realizada a pesquisa de preços, </w:t>
      </w:r>
      <w:r w:rsidRPr="00983F71">
        <w:rPr>
          <w:rFonts w:ascii="Arial" w:eastAsia="Times New Roman" w:hAnsi="Arial" w:cs="Arial"/>
          <w:color w:val="FF0000"/>
          <w:sz w:val="20"/>
          <w:szCs w:val="24"/>
          <w:lang w:eastAsia="pt-BR"/>
        </w:rPr>
        <w:t>fica a unidade administrativa competente AUTORIZADA a constar, como anexo do Edital, o preço de referência, a planilha com informações pertinentes ao item a ser licitado, a unidade de medida, o quantitativo e o preço máximo aceitável para a contratação, se for o caso.</w:t>
      </w:r>
    </w:p>
    <w:p w:rsidR="00983F71" w:rsidRPr="00983F71" w:rsidRDefault="00983F71" w:rsidP="00983F71">
      <w:pPr>
        <w:spacing w:after="0" w:line="240" w:lineRule="auto"/>
        <w:jc w:val="both"/>
        <w:rPr>
          <w:rFonts w:ascii="Arial" w:eastAsia="Times New Roman" w:hAnsi="Arial" w:cs="Arial"/>
          <w:color w:val="FF0000"/>
          <w:sz w:val="20"/>
          <w:szCs w:val="24"/>
          <w:highlight w:val="red"/>
          <w:lang w:eastAsia="pt-BR"/>
        </w:rPr>
      </w:pP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r w:rsidRPr="00983F71">
        <w:rPr>
          <w:rFonts w:ascii="Arial" w:eastAsia="Times New Roman" w:hAnsi="Arial" w:cs="Arial"/>
          <w:b/>
          <w:color w:val="FF0000"/>
          <w:sz w:val="20"/>
          <w:szCs w:val="24"/>
          <w:highlight w:val="yellow"/>
          <w:lang w:eastAsia="pt-BR"/>
        </w:rPr>
        <w:t>OU</w:t>
      </w:r>
    </w:p>
    <w:p w:rsidR="00983F71" w:rsidRPr="00983F71" w:rsidRDefault="00983F71" w:rsidP="00983F71">
      <w:pPr>
        <w:spacing w:after="0" w:line="240" w:lineRule="auto"/>
        <w:jc w:val="both"/>
        <w:rPr>
          <w:rFonts w:ascii="Arial" w:eastAsia="Times New Roman" w:hAnsi="Arial" w:cs="Arial"/>
          <w:b/>
          <w:color w:val="000000"/>
          <w:sz w:val="20"/>
          <w:szCs w:val="24"/>
          <w:u w:val="single"/>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color w:val="FF0000"/>
          <w:sz w:val="20"/>
          <w:szCs w:val="24"/>
          <w:lang w:eastAsia="pt-BR"/>
        </w:rPr>
        <w:t xml:space="preserve">4.2. </w:t>
      </w:r>
      <w:r w:rsidRPr="00983F71">
        <w:rPr>
          <w:rFonts w:ascii="Arial" w:eastAsia="Times New Roman" w:hAnsi="Arial" w:cs="Arial"/>
          <w:color w:val="FF0000"/>
          <w:sz w:val="20"/>
          <w:szCs w:val="24"/>
          <w:lang w:eastAsia="pt-BR"/>
        </w:rPr>
        <w:t xml:space="preserve"> </w:t>
      </w:r>
      <w:r w:rsidRPr="00983F71">
        <w:rPr>
          <w:rFonts w:ascii="Arial" w:eastAsia="Times New Roman" w:hAnsi="Arial" w:cs="Arial"/>
          <w:bCs/>
          <w:color w:val="FF0000"/>
          <w:sz w:val="20"/>
          <w:szCs w:val="24"/>
          <w:lang w:eastAsia="pt-BR"/>
        </w:rPr>
        <w:t xml:space="preserve">Depois de realizada a pesquisa de preços, </w:t>
      </w:r>
      <w:r w:rsidRPr="00983F71">
        <w:rPr>
          <w:rFonts w:ascii="Arial" w:eastAsia="Times New Roman" w:hAnsi="Arial" w:cs="Arial"/>
          <w:color w:val="FF0000"/>
          <w:sz w:val="20"/>
          <w:szCs w:val="24"/>
          <w:lang w:eastAsia="pt-BR"/>
        </w:rPr>
        <w:t xml:space="preserve">fica a unidade administrativa competente IMPEDIDA de constar no Edital ou em seus anexos, o preço de referência e o preço máximo aceitável para a contratação, </w:t>
      </w:r>
      <w:r w:rsidRPr="00983F71">
        <w:rPr>
          <w:rFonts w:ascii="Arial" w:eastAsia="Times New Roman" w:hAnsi="Arial" w:cs="Arial"/>
          <w:b/>
          <w:color w:val="FF0000"/>
          <w:sz w:val="20"/>
          <w:szCs w:val="24"/>
          <w:lang w:eastAsia="pt-BR"/>
        </w:rPr>
        <w:t>adotando-se o caráter sigiloso na presente licitação</w:t>
      </w:r>
      <w:r w:rsidRPr="00983F71">
        <w:rPr>
          <w:rFonts w:ascii="Arial" w:eastAsia="Times New Roman" w:hAnsi="Arial" w:cs="Arial"/>
          <w:color w:val="FF0000"/>
          <w:sz w:val="20"/>
          <w:szCs w:val="24"/>
          <w:lang w:eastAsia="pt-BR"/>
        </w:rPr>
        <w:t>.</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Calibri" w:hAnsi="Arial" w:cs="Arial"/>
          <w:b/>
          <w:color w:val="FF0000"/>
          <w:sz w:val="20"/>
          <w:szCs w:val="20"/>
        </w:rPr>
      </w:pPr>
      <w:r w:rsidRPr="00983F71">
        <w:rPr>
          <w:rFonts w:ascii="Arial" w:eastAsia="Calibri" w:hAnsi="Arial" w:cs="Arial"/>
          <w:b/>
          <w:bCs/>
          <w:color w:val="FF0000"/>
          <w:sz w:val="20"/>
          <w:szCs w:val="20"/>
        </w:rPr>
        <w:lastRenderedPageBreak/>
        <w:t>4.2.1.</w:t>
      </w:r>
      <w:r w:rsidRPr="00983F71">
        <w:rPr>
          <w:rFonts w:ascii="Arial" w:eastAsia="Calibri" w:hAnsi="Arial" w:cs="Arial"/>
          <w:color w:val="FF0000"/>
          <w:sz w:val="20"/>
          <w:szCs w:val="20"/>
        </w:rPr>
        <w:t xml:space="preserve"> O custo estimado da contratação será tornado público apenas e imediatamente após o encerramento do envio de lances.</w:t>
      </w:r>
    </w:p>
    <w:p w:rsidR="00983F71" w:rsidRPr="00983F71" w:rsidRDefault="00983F71" w:rsidP="00983F71">
      <w:pPr>
        <w:spacing w:after="0" w:line="240" w:lineRule="auto"/>
        <w:jc w:val="both"/>
        <w:rPr>
          <w:rFonts w:ascii="Arial" w:eastAsia="Calibri" w:hAnsi="Arial" w:cs="Arial"/>
          <w:b/>
          <w:color w:val="FF0000"/>
          <w:sz w:val="20"/>
          <w:szCs w:val="20"/>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color w:val="FF0000"/>
          <w:sz w:val="20"/>
          <w:szCs w:val="24"/>
          <w:lang w:eastAsia="pt-BR"/>
        </w:rPr>
        <w:t>4.2.2.</w:t>
      </w:r>
      <w:r w:rsidRPr="00983F71">
        <w:rPr>
          <w:rFonts w:ascii="Arial" w:eastAsia="Times New Roman" w:hAnsi="Arial" w:cs="Arial"/>
          <w:color w:val="FF0000"/>
          <w:sz w:val="20"/>
          <w:szCs w:val="24"/>
          <w:lang w:eastAsia="pt-BR"/>
        </w:rPr>
        <w:t xml:space="preserve"> Justifica-se a opção pelo caráter sigiloso no presente certame licitatório em razão </w:t>
      </w:r>
      <w:r w:rsidRPr="00983F71">
        <w:rPr>
          <w:rFonts w:ascii="Arial" w:eastAsia="Times New Roman" w:hAnsi="Arial" w:cs="Arial"/>
          <w:color w:val="FF0000"/>
          <w:sz w:val="20"/>
          <w:szCs w:val="24"/>
          <w:highlight w:val="yellow"/>
          <w:lang w:eastAsia="pt-BR"/>
        </w:rPr>
        <w:t>(...)</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bCs/>
          <w:sz w:val="20"/>
          <w:szCs w:val="20"/>
        </w:rPr>
      </w:pPr>
      <w:r w:rsidRPr="00983F71">
        <w:rPr>
          <w:rFonts w:ascii="Arial" w:eastAsia="Calibri" w:hAnsi="Arial" w:cs="Arial"/>
          <w:b/>
          <w:bCs/>
          <w:sz w:val="20"/>
          <w:szCs w:val="20"/>
        </w:rPr>
        <w:t>Orientações práticas:</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bCs/>
          <w:sz w:val="20"/>
          <w:szCs w:val="20"/>
        </w:rPr>
      </w:pP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b/>
          <w:sz w:val="20"/>
          <w:szCs w:val="20"/>
        </w:rPr>
        <w:t xml:space="preserve">1. Sigilo: </w:t>
      </w:r>
      <w:r w:rsidRPr="00983F71">
        <w:rPr>
          <w:rFonts w:ascii="Arial" w:eastAsia="Calibri" w:hAnsi="Arial" w:cs="Arial"/>
          <w:sz w:val="20"/>
          <w:szCs w:val="20"/>
        </w:rPr>
        <w:t>O sigilo ou não do preço de referência ou do preço máximo aceitável está disciplinado no art. 15 do Decreto Estadual n. 15.327/19. A escolha pelo caráter sigiloso do preço de referência, por se tratar de regra de exceção, deve ser fundamentada com base no § 3º do art. 7º da Lei Federal nº 12.527, de 18 de novembro de 2011 e no art. 2º do Decreto Estadual nº 14.471, de 12 de maio de 2016.</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r w:rsidRPr="00983F71">
        <w:rPr>
          <w:rFonts w:ascii="Arial" w:eastAsia="Calibri" w:hAnsi="Arial" w:cs="Arial"/>
          <w:sz w:val="20"/>
          <w:szCs w:val="20"/>
        </w:rPr>
        <w:t>Por esta razão, a redação acima poderá ser usada quando se adotar o preço de referência sigiloso, sem afastar a possibilidade de outro fundamento que a equipe de planejamento julgar mais conveniente.</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eastAsia="Calibri" w:hAnsi="Arial" w:cs="Arial"/>
          <w:sz w:val="20"/>
          <w:szCs w:val="20"/>
        </w:rPr>
      </w:pPr>
      <w:r w:rsidRPr="00983F71">
        <w:rPr>
          <w:rFonts w:ascii="Arial" w:eastAsia="Calibri" w:hAnsi="Arial" w:cs="Arial"/>
          <w:b/>
          <w:sz w:val="20"/>
          <w:szCs w:val="20"/>
        </w:rPr>
        <w:t>2. Planilha de custo e formação de preço</w:t>
      </w:r>
      <w:r w:rsidRPr="00983F71">
        <w:rPr>
          <w:rFonts w:ascii="Arial" w:eastAsia="Calibri" w:hAnsi="Arial" w:cs="Arial"/>
          <w:sz w:val="20"/>
          <w:szCs w:val="20"/>
        </w:rPr>
        <w:t>: A planilha de custo é o documento que tem como objetivo “</w:t>
      </w:r>
      <w:r w:rsidRPr="00983F71">
        <w:rPr>
          <w:rFonts w:ascii="Arial" w:eastAsia="Calibri" w:hAnsi="Arial" w:cs="Arial"/>
          <w:i/>
          <w:sz w:val="20"/>
          <w:szCs w:val="20"/>
        </w:rPr>
        <w:t xml:space="preserve">detalhar os componentes de custo que incidem na formação do preço dos serviços, podendo ser adequado pela Administração em função das peculiaridades dos serviços a que se destina, </w:t>
      </w:r>
      <w:r w:rsidRPr="00983F71">
        <w:rPr>
          <w:rFonts w:ascii="Arial" w:eastAsia="Calibri" w:hAnsi="Arial" w:cs="Arial"/>
          <w:i/>
          <w:sz w:val="20"/>
          <w:szCs w:val="20"/>
          <w:u w:val="single"/>
        </w:rPr>
        <w:t>no caso de serviços continuados</w:t>
      </w:r>
      <w:r w:rsidRPr="00983F71">
        <w:rPr>
          <w:rFonts w:ascii="Arial" w:eastAsia="Calibri" w:hAnsi="Arial" w:cs="Arial"/>
          <w:i/>
          <w:sz w:val="20"/>
          <w:szCs w:val="20"/>
        </w:rPr>
        <w:t>.</w:t>
      </w:r>
      <w:r w:rsidRPr="00983F71">
        <w:rPr>
          <w:rFonts w:ascii="Arial" w:eastAsia="Calibri" w:hAnsi="Arial" w:cs="Arial"/>
          <w:sz w:val="20"/>
          <w:szCs w:val="20"/>
        </w:rPr>
        <w:t>”</w:t>
      </w:r>
      <w:r w:rsidRPr="00983F71">
        <w:rPr>
          <w:rFonts w:ascii="Arial" w:eastAsia="Calibri" w:hAnsi="Arial" w:cs="Arial"/>
          <w:sz w:val="20"/>
          <w:szCs w:val="20"/>
          <w:vertAlign w:val="superscript"/>
        </w:rPr>
        <w:footnoteReference w:id="1"/>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eastAsia="Calibri" w:hAnsi="Arial" w:cs="Arial"/>
          <w:sz w:val="20"/>
          <w:szCs w:val="20"/>
        </w:rPr>
      </w:pPr>
      <w:r w:rsidRPr="00983F71">
        <w:rPr>
          <w:rFonts w:ascii="Arial" w:eastAsia="Calibri" w:hAnsi="Arial" w:cs="Arial"/>
          <w:sz w:val="20"/>
          <w:szCs w:val="20"/>
        </w:rPr>
        <w:t>A elaboração de planilha de composição de custos na contratação de serviços encontra correspondência no § 2º do art. 7º da Lei Federal 8.666/93, cuja redação estabelece que os serviços somente poderão ser licitados quando “</w:t>
      </w:r>
      <w:r w:rsidRPr="00983F71">
        <w:rPr>
          <w:rFonts w:ascii="Arial" w:eastAsia="Calibri" w:hAnsi="Arial" w:cs="Arial"/>
          <w:i/>
          <w:sz w:val="20"/>
          <w:szCs w:val="20"/>
        </w:rPr>
        <w:t>existir orçamento detalhado em planilhas que expressem a composição de todos os seus custos unitários</w:t>
      </w:r>
      <w:r w:rsidRPr="00983F71">
        <w:rPr>
          <w:rFonts w:ascii="Arial" w:eastAsia="Calibri" w:hAnsi="Arial" w:cs="Arial"/>
          <w:sz w:val="20"/>
          <w:szCs w:val="20"/>
        </w:rPr>
        <w:t xml:space="preserve">”. No âmbito do Estado de Mato Grosso do Sul, o art. 10, § 3º, do Decreto nº 15.524/20 estabeleceu, para os </w:t>
      </w:r>
      <w:r w:rsidRPr="00983F71">
        <w:rPr>
          <w:rFonts w:ascii="Arial" w:eastAsia="Calibri" w:hAnsi="Arial" w:cs="Arial"/>
          <w:b/>
          <w:sz w:val="20"/>
          <w:szCs w:val="20"/>
          <w:u w:val="single"/>
        </w:rPr>
        <w:t>serviços de natureza continuada</w:t>
      </w:r>
      <w:r w:rsidRPr="00983F71">
        <w:rPr>
          <w:rFonts w:ascii="Arial" w:eastAsia="Calibri" w:hAnsi="Arial" w:cs="Arial"/>
          <w:sz w:val="20"/>
          <w:szCs w:val="20"/>
        </w:rPr>
        <w:t xml:space="preserve">, a obrigação do termo de referência conter </w:t>
      </w:r>
      <w:r w:rsidRPr="00983F71">
        <w:rPr>
          <w:rFonts w:ascii="Arial" w:eastAsia="Calibri" w:hAnsi="Arial" w:cs="Arial"/>
          <w:i/>
          <w:sz w:val="20"/>
          <w:szCs w:val="20"/>
        </w:rPr>
        <w:t>orçamento detalhado em planilhas que expressem a composição de todos os seus custos unitários.</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eastAsia="Calibri" w:hAnsi="Arial" w:cs="Arial"/>
          <w:sz w:val="20"/>
          <w:szCs w:val="20"/>
        </w:rPr>
      </w:pPr>
      <w:r w:rsidRPr="00983F71">
        <w:rPr>
          <w:rFonts w:ascii="Arial" w:eastAsia="Calibri" w:hAnsi="Arial" w:cs="Arial"/>
          <w:sz w:val="20"/>
          <w:szCs w:val="20"/>
        </w:rPr>
        <w:t xml:space="preserve">Assim, caso no item 1 deste Termo de Referência o serviço a ser contratado tenha sido caracterizado como de natureza </w:t>
      </w:r>
      <w:r w:rsidRPr="00983F71">
        <w:rPr>
          <w:rFonts w:ascii="Arial" w:eastAsia="Calibri" w:hAnsi="Arial" w:cs="Arial"/>
          <w:sz w:val="20"/>
          <w:szCs w:val="20"/>
          <w:u w:val="single"/>
        </w:rPr>
        <w:t>continuada</w:t>
      </w:r>
      <w:r w:rsidRPr="00983F71">
        <w:rPr>
          <w:rFonts w:ascii="Arial" w:eastAsia="Calibri" w:hAnsi="Arial" w:cs="Arial"/>
          <w:sz w:val="20"/>
          <w:szCs w:val="20"/>
        </w:rPr>
        <w:t xml:space="preserve">, a equipe de planejamento, ao promover a estimativa de preços, deve fazê-lo por meio de uma </w:t>
      </w:r>
      <w:r w:rsidRPr="00983F71">
        <w:rPr>
          <w:rFonts w:ascii="Arial" w:eastAsia="Calibri" w:hAnsi="Arial" w:cs="Arial"/>
          <w:sz w:val="20"/>
          <w:szCs w:val="20"/>
          <w:u w:val="single"/>
        </w:rPr>
        <w:t>planilha de composição de custos unitários</w:t>
      </w:r>
      <w:r w:rsidRPr="00983F71">
        <w:rPr>
          <w:rFonts w:ascii="Arial" w:eastAsia="Calibri" w:hAnsi="Arial" w:cs="Arial"/>
          <w:sz w:val="20"/>
          <w:szCs w:val="20"/>
        </w:rPr>
        <w:t>.</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eastAsia="Calibri" w:hAnsi="Arial" w:cs="Arial"/>
          <w:sz w:val="20"/>
          <w:szCs w:val="20"/>
        </w:rPr>
      </w:pPr>
      <w:r w:rsidRPr="00983F71">
        <w:rPr>
          <w:rFonts w:ascii="Arial" w:eastAsia="Calibri" w:hAnsi="Arial" w:cs="Arial"/>
          <w:sz w:val="20"/>
          <w:szCs w:val="20"/>
        </w:rPr>
        <w:t>Alerta-se que a planilha de formação de custos deverá ser elaborada pela própria Administração Pública a partir das informações coletadas no mercado, não sendo possível substituí-la por documento elaborado pelos próprios fornecedores (Acórdão nº 2.444/2008 – Plenário/TCU).</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eastAsia="Calibri" w:hAnsi="Arial" w:cs="Arial"/>
          <w:sz w:val="20"/>
          <w:szCs w:val="20"/>
        </w:rPr>
      </w:pPr>
      <w:r w:rsidRPr="00983F71">
        <w:rPr>
          <w:rFonts w:ascii="Arial" w:eastAsia="Calibri" w:hAnsi="Arial" w:cs="Arial"/>
          <w:sz w:val="20"/>
          <w:szCs w:val="20"/>
        </w:rPr>
        <w:t>Convém esclarecer que a elaboração desse documento é essencial no decurso do procedimento licitatório, em especial na análise da proposta apresentada pelos licitantes.</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eastAsia="Calibri" w:hAnsi="Arial" w:cs="Arial"/>
          <w:sz w:val="20"/>
          <w:szCs w:val="20"/>
        </w:rPr>
      </w:pPr>
      <w:r w:rsidRPr="00983F71">
        <w:rPr>
          <w:rFonts w:ascii="Arial" w:eastAsia="Calibri" w:hAnsi="Arial" w:cs="Arial"/>
          <w:sz w:val="20"/>
          <w:szCs w:val="20"/>
        </w:rPr>
        <w:t>A partir da planilha de composição de custos mencionada anteriormente deverá ser oferecido, em anexo ao edital, um modelo a ser preenchido pelos futuros participantes. Por sua vez, a exequibilidade da planilha do licitante provisoriamente classificado em primeiro lugar (depois da fase de lances) será analisada com parâmetro naquela planilha elaborada pela Administração Pública na fase de pesquisa de preço.</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eastAsia="Calibri" w:hAnsi="Arial" w:cs="Arial"/>
          <w:sz w:val="20"/>
          <w:szCs w:val="20"/>
        </w:rPr>
      </w:pPr>
      <w:r w:rsidRPr="00983F71">
        <w:rPr>
          <w:rFonts w:ascii="Arial" w:eastAsia="Calibri" w:hAnsi="Arial" w:cs="Arial"/>
          <w:sz w:val="20"/>
          <w:szCs w:val="20"/>
        </w:rPr>
        <w:t xml:space="preserve"> Veja-se que o procedimento licitatório demanda a existência de, pelo menos, três planilhas de formação de preços, as quais possuem função e objetivo diverso e não podem ser confundidas:</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eastAsia="Calibri" w:hAnsi="Arial" w:cs="Arial"/>
          <w:sz w:val="20"/>
          <w:szCs w:val="20"/>
        </w:rPr>
      </w:pPr>
      <w:r w:rsidRPr="00983F71">
        <w:rPr>
          <w:rFonts w:ascii="Arial" w:eastAsia="Calibri" w:hAnsi="Arial" w:cs="Arial"/>
          <w:sz w:val="20"/>
          <w:szCs w:val="20"/>
        </w:rPr>
        <w:t>- Planilha 1: Elaborada pela Administração Pública para estimativa do preço;</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eastAsia="Calibri" w:hAnsi="Arial" w:cs="Arial"/>
          <w:sz w:val="20"/>
          <w:szCs w:val="20"/>
        </w:rPr>
      </w:pPr>
      <w:r w:rsidRPr="00983F71">
        <w:rPr>
          <w:rFonts w:ascii="Arial" w:eastAsia="Calibri" w:hAnsi="Arial" w:cs="Arial"/>
          <w:sz w:val="20"/>
          <w:szCs w:val="20"/>
        </w:rPr>
        <w:t>- Planilha 2: Modelo em anexo ao edital e que deverá ser preenchido pelos licitantes;</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eastAsia="Calibri" w:hAnsi="Arial" w:cs="Arial"/>
          <w:sz w:val="20"/>
          <w:szCs w:val="20"/>
        </w:rPr>
      </w:pPr>
      <w:r w:rsidRPr="00983F71">
        <w:rPr>
          <w:rFonts w:ascii="Arial" w:eastAsia="Calibri" w:hAnsi="Arial" w:cs="Arial"/>
          <w:sz w:val="20"/>
          <w:szCs w:val="20"/>
        </w:rPr>
        <w:t>- Planilha 3: Apresentada pelos licitantes, nos moldes previstos pela “Planilha 2”, e cuja exequibilidade dos preços será analisada com parâmetro na “Planilha 1”.</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eastAsia="Calibri" w:hAnsi="Arial" w:cs="Arial"/>
          <w:sz w:val="20"/>
          <w:szCs w:val="20"/>
        </w:rPr>
      </w:pP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eastAsia="Calibri" w:hAnsi="Arial" w:cs="Arial"/>
          <w:sz w:val="20"/>
          <w:szCs w:val="20"/>
        </w:rPr>
      </w:pPr>
      <w:r w:rsidRPr="00983F71">
        <w:rPr>
          <w:rFonts w:ascii="Arial" w:eastAsia="Calibri" w:hAnsi="Arial" w:cs="Arial"/>
          <w:sz w:val="20"/>
          <w:szCs w:val="20"/>
          <w:u w:val="single"/>
        </w:rPr>
        <w:lastRenderedPageBreak/>
        <w:t>2.1 Serviços que não possuem natureza continuada</w:t>
      </w:r>
      <w:r w:rsidRPr="00983F71">
        <w:rPr>
          <w:rFonts w:ascii="Arial" w:eastAsia="Calibri" w:hAnsi="Arial" w:cs="Arial"/>
          <w:sz w:val="20"/>
          <w:szCs w:val="20"/>
        </w:rPr>
        <w:t>: Nesses casos, se a natureza do serviço tornar inviável ou desnecessário o detalhamento dos custos para aferição da exequibilidade dos preços praticados no mercado, a elaboração da planilha pode ser motivadamente dispensada, uma vez que a imprescindibilidade da planilha de custos é apenas para os serviços de natureza continuada, nos termos do art. 10, § 3º, do Decreto nº 15.524/20.</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Calibri" w:hAnsi="Arial" w:cs="Arial"/>
          <w:b/>
          <w:bCs/>
          <w:sz w:val="20"/>
          <w:szCs w:val="20"/>
        </w:rPr>
      </w:pPr>
      <w:r w:rsidRPr="00983F71">
        <w:rPr>
          <w:rFonts w:ascii="Arial" w:eastAsia="Calibri" w:hAnsi="Arial" w:cs="Arial"/>
          <w:b/>
          <w:bCs/>
          <w:sz w:val="20"/>
          <w:szCs w:val="20"/>
        </w:rPr>
        <w:t>5. CRITÉRIO DE JULGAMENTO DAS PROPOSTAS</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r w:rsidRPr="00983F71">
        <w:rPr>
          <w:rFonts w:ascii="Arial" w:eastAsia="Times New Roman" w:hAnsi="Arial" w:cs="Arial"/>
          <w:b/>
          <w:color w:val="FF0000"/>
          <w:sz w:val="20"/>
          <w:szCs w:val="20"/>
          <w:lang w:eastAsia="pt-BR"/>
        </w:rPr>
        <w:t>5.1.</w:t>
      </w:r>
      <w:r w:rsidRPr="00983F71">
        <w:rPr>
          <w:rFonts w:ascii="Arial" w:eastAsia="Times New Roman" w:hAnsi="Arial" w:cs="Arial"/>
          <w:color w:val="FF0000"/>
          <w:sz w:val="20"/>
          <w:szCs w:val="20"/>
          <w:lang w:eastAsia="pt-BR"/>
        </w:rPr>
        <w:t xml:space="preserve"> A licitação será dividida em itens, conforme tabela constante deste Termo de Referência, facultando-se ao licitante a participação em quantos itens forem de seu interesse. </w:t>
      </w: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r w:rsidRPr="00983F71">
        <w:rPr>
          <w:rFonts w:ascii="Arial" w:eastAsia="Times New Roman" w:hAnsi="Arial" w:cs="Arial"/>
          <w:b/>
          <w:color w:val="FF0000"/>
          <w:sz w:val="20"/>
          <w:szCs w:val="20"/>
          <w:lang w:eastAsia="pt-BR"/>
        </w:rPr>
        <w:t>5.2.</w:t>
      </w:r>
      <w:r w:rsidRPr="00983F71">
        <w:rPr>
          <w:rFonts w:ascii="Arial" w:eastAsia="Times New Roman" w:hAnsi="Arial" w:cs="Arial"/>
          <w:color w:val="FF0000"/>
          <w:sz w:val="20"/>
          <w:szCs w:val="20"/>
          <w:lang w:eastAsia="pt-BR"/>
        </w:rPr>
        <w:t xml:space="preserve"> O critério de julgamento adotado será o </w:t>
      </w:r>
      <w:r w:rsidRPr="00983F71">
        <w:rPr>
          <w:rFonts w:ascii="Arial" w:eastAsia="Times New Roman" w:hAnsi="Arial" w:cs="Arial"/>
          <w:color w:val="FF0000"/>
          <w:sz w:val="20"/>
          <w:szCs w:val="20"/>
          <w:highlight w:val="yellow"/>
          <w:lang w:eastAsia="pt-BR"/>
        </w:rPr>
        <w:t>menor preço/maior desconto</w:t>
      </w:r>
      <w:r w:rsidRPr="00983F71">
        <w:rPr>
          <w:rFonts w:ascii="Arial" w:eastAsia="Times New Roman" w:hAnsi="Arial" w:cs="Arial"/>
          <w:color w:val="FF0000"/>
          <w:sz w:val="20"/>
          <w:szCs w:val="20"/>
          <w:lang w:eastAsia="pt-BR"/>
        </w:rPr>
        <w:t xml:space="preserve"> do item, observadas as exigências contidas no Edital e seus Anexos quanto às especificações do objeto.</w:t>
      </w: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p>
    <w:p w:rsidR="00983F71" w:rsidRPr="00983F71" w:rsidRDefault="00983F71" w:rsidP="00983F71">
      <w:pPr>
        <w:widowControl w:val="0"/>
        <w:spacing w:after="0" w:line="240" w:lineRule="auto"/>
        <w:jc w:val="both"/>
        <w:rPr>
          <w:rFonts w:ascii="Arial" w:eastAsia="Times New Roman" w:hAnsi="Arial" w:cs="Arial"/>
          <w:b/>
          <w:color w:val="FF0000"/>
          <w:sz w:val="20"/>
          <w:szCs w:val="20"/>
          <w:lang w:eastAsia="pt-BR"/>
        </w:rPr>
      </w:pPr>
      <w:r w:rsidRPr="00983F71">
        <w:rPr>
          <w:rFonts w:ascii="Arial" w:eastAsia="Times New Roman" w:hAnsi="Arial" w:cs="Arial"/>
          <w:b/>
          <w:color w:val="FF0000"/>
          <w:sz w:val="20"/>
          <w:szCs w:val="20"/>
          <w:highlight w:val="yellow"/>
          <w:lang w:eastAsia="pt-BR"/>
        </w:rPr>
        <w:t>OU</w:t>
      </w: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r w:rsidRPr="00983F71">
        <w:rPr>
          <w:rFonts w:ascii="Arial" w:eastAsia="Times New Roman" w:hAnsi="Arial" w:cs="Arial"/>
          <w:b/>
          <w:color w:val="FF0000"/>
          <w:sz w:val="20"/>
          <w:szCs w:val="20"/>
          <w:lang w:eastAsia="pt-BR"/>
        </w:rPr>
        <w:t>5.1.</w:t>
      </w:r>
      <w:r w:rsidRPr="00983F71">
        <w:rPr>
          <w:rFonts w:ascii="Arial" w:eastAsia="Times New Roman" w:hAnsi="Arial" w:cs="Arial"/>
          <w:color w:val="FF0000"/>
          <w:sz w:val="20"/>
          <w:szCs w:val="20"/>
          <w:lang w:eastAsia="pt-BR"/>
        </w:rPr>
        <w:t xml:space="preserve"> A licitação será realizada em único item.</w:t>
      </w: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r w:rsidRPr="00983F71">
        <w:rPr>
          <w:rFonts w:ascii="Arial" w:eastAsia="Times New Roman" w:hAnsi="Arial" w:cs="Arial"/>
          <w:b/>
          <w:color w:val="FF0000"/>
          <w:sz w:val="20"/>
          <w:szCs w:val="20"/>
          <w:lang w:eastAsia="pt-BR"/>
        </w:rPr>
        <w:t>5.2.</w:t>
      </w:r>
      <w:r w:rsidRPr="00983F71">
        <w:rPr>
          <w:rFonts w:ascii="Arial" w:eastAsia="Times New Roman" w:hAnsi="Arial" w:cs="Arial"/>
          <w:color w:val="FF0000"/>
          <w:sz w:val="20"/>
          <w:szCs w:val="20"/>
          <w:lang w:eastAsia="pt-BR"/>
        </w:rPr>
        <w:t xml:space="preserve"> O critério de julgamento adotado será o </w:t>
      </w:r>
      <w:r w:rsidRPr="00983F71">
        <w:rPr>
          <w:rFonts w:ascii="Arial" w:eastAsia="Times New Roman" w:hAnsi="Arial" w:cs="Arial"/>
          <w:color w:val="FF0000"/>
          <w:sz w:val="20"/>
          <w:szCs w:val="20"/>
          <w:highlight w:val="yellow"/>
          <w:lang w:eastAsia="pt-BR"/>
        </w:rPr>
        <w:t>menor preço do item/maior desconto</w:t>
      </w:r>
      <w:r w:rsidRPr="00983F71">
        <w:rPr>
          <w:rFonts w:ascii="Arial" w:eastAsia="Times New Roman" w:hAnsi="Arial" w:cs="Arial"/>
          <w:color w:val="FF0000"/>
          <w:sz w:val="20"/>
          <w:szCs w:val="20"/>
          <w:lang w:eastAsia="pt-BR"/>
        </w:rPr>
        <w:t>, observadas as exigências contidas no Edital e seus Anexos quanto às especificações do objeto.</w:t>
      </w: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p>
    <w:p w:rsidR="00983F71" w:rsidRPr="00983F71" w:rsidRDefault="00983F71" w:rsidP="00983F71">
      <w:pPr>
        <w:widowControl w:val="0"/>
        <w:spacing w:after="0" w:line="240" w:lineRule="auto"/>
        <w:jc w:val="both"/>
        <w:rPr>
          <w:rFonts w:ascii="Arial" w:eastAsia="Times New Roman" w:hAnsi="Arial" w:cs="Arial"/>
          <w:b/>
          <w:color w:val="FF0000"/>
          <w:sz w:val="20"/>
          <w:szCs w:val="20"/>
          <w:lang w:eastAsia="pt-BR"/>
        </w:rPr>
      </w:pPr>
      <w:r w:rsidRPr="00983F71">
        <w:rPr>
          <w:rFonts w:ascii="Arial" w:eastAsia="Times New Roman" w:hAnsi="Arial" w:cs="Arial"/>
          <w:b/>
          <w:color w:val="FF0000"/>
          <w:sz w:val="20"/>
          <w:szCs w:val="20"/>
          <w:highlight w:val="yellow"/>
          <w:lang w:eastAsia="pt-BR"/>
        </w:rPr>
        <w:t>OU</w:t>
      </w: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r w:rsidRPr="00983F71">
        <w:rPr>
          <w:rFonts w:ascii="Arial" w:eastAsia="Times New Roman" w:hAnsi="Arial" w:cs="Arial"/>
          <w:b/>
          <w:color w:val="FF0000"/>
          <w:sz w:val="20"/>
          <w:szCs w:val="20"/>
          <w:lang w:eastAsia="pt-BR"/>
        </w:rPr>
        <w:t>5.1.</w:t>
      </w:r>
      <w:r w:rsidRPr="00983F71">
        <w:rPr>
          <w:rFonts w:ascii="Arial" w:eastAsia="Times New Roman" w:hAnsi="Arial" w:cs="Arial"/>
          <w:color w:val="FF0000"/>
          <w:sz w:val="20"/>
          <w:szCs w:val="20"/>
          <w:lang w:eastAsia="pt-BR"/>
        </w:rPr>
        <w:t xml:space="preserve"> A licitação será dividida em lotes, formados por um ou mais itens, conforme tabela constante neste Termo de Referência, facultando-se ao licitante a participação em quantos lotes forem de seu interesse, devendo oferecer proposta para todos os itens que o compõem.</w:t>
      </w: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r w:rsidRPr="00983F71">
        <w:rPr>
          <w:rFonts w:ascii="Arial" w:eastAsia="Times New Roman" w:hAnsi="Arial" w:cs="Arial"/>
          <w:b/>
          <w:color w:val="FF0000"/>
          <w:sz w:val="20"/>
          <w:szCs w:val="20"/>
          <w:lang w:eastAsia="pt-BR"/>
        </w:rPr>
        <w:t>5.2.</w:t>
      </w:r>
      <w:r w:rsidRPr="00983F71">
        <w:rPr>
          <w:rFonts w:ascii="Arial" w:eastAsia="Times New Roman" w:hAnsi="Arial" w:cs="Arial"/>
          <w:color w:val="FF0000"/>
          <w:sz w:val="20"/>
          <w:szCs w:val="20"/>
          <w:lang w:eastAsia="pt-BR"/>
        </w:rPr>
        <w:t xml:space="preserve"> O critério de julgamento adotado será o </w:t>
      </w:r>
      <w:r w:rsidRPr="00983F71">
        <w:rPr>
          <w:rFonts w:ascii="Arial" w:eastAsia="Times New Roman" w:hAnsi="Arial" w:cs="Arial"/>
          <w:color w:val="FF0000"/>
          <w:sz w:val="20"/>
          <w:szCs w:val="20"/>
          <w:highlight w:val="yellow"/>
          <w:lang w:eastAsia="pt-BR"/>
        </w:rPr>
        <w:t>menor preço/maior desconto</w:t>
      </w:r>
      <w:r w:rsidRPr="00983F71">
        <w:rPr>
          <w:rFonts w:ascii="Arial" w:eastAsia="Times New Roman" w:hAnsi="Arial" w:cs="Arial"/>
          <w:color w:val="FF0000"/>
          <w:sz w:val="20"/>
          <w:szCs w:val="20"/>
          <w:lang w:eastAsia="pt-BR"/>
        </w:rPr>
        <w:t xml:space="preserve"> global do grupo, observadas as exigências contidas no Edital e seus Anexos quanto às especificações do objeto.</w:t>
      </w: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p>
    <w:p w:rsidR="00983F71" w:rsidRPr="00983F71" w:rsidRDefault="00983F71" w:rsidP="00983F71">
      <w:pPr>
        <w:widowControl w:val="0"/>
        <w:spacing w:after="0" w:line="240" w:lineRule="auto"/>
        <w:jc w:val="both"/>
        <w:rPr>
          <w:rFonts w:ascii="Arial" w:eastAsia="Times New Roman" w:hAnsi="Arial" w:cs="Arial"/>
          <w:b/>
          <w:color w:val="FF0000"/>
          <w:sz w:val="20"/>
          <w:szCs w:val="20"/>
          <w:lang w:eastAsia="pt-BR"/>
        </w:rPr>
      </w:pPr>
      <w:r w:rsidRPr="00983F71">
        <w:rPr>
          <w:rFonts w:ascii="Arial" w:eastAsia="Times New Roman" w:hAnsi="Arial" w:cs="Arial"/>
          <w:b/>
          <w:color w:val="FF0000"/>
          <w:sz w:val="20"/>
          <w:szCs w:val="20"/>
          <w:highlight w:val="yellow"/>
          <w:lang w:eastAsia="pt-BR"/>
        </w:rPr>
        <w:t>OU</w:t>
      </w: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r w:rsidRPr="00983F71">
        <w:rPr>
          <w:rFonts w:ascii="Arial" w:eastAsia="Times New Roman" w:hAnsi="Arial" w:cs="Arial"/>
          <w:b/>
          <w:color w:val="FF0000"/>
          <w:sz w:val="20"/>
          <w:szCs w:val="20"/>
          <w:lang w:eastAsia="pt-BR"/>
        </w:rPr>
        <w:t>5.1.</w:t>
      </w:r>
      <w:r w:rsidRPr="00983F71">
        <w:rPr>
          <w:rFonts w:ascii="Arial" w:eastAsia="Times New Roman" w:hAnsi="Arial" w:cs="Arial"/>
          <w:color w:val="FF0000"/>
          <w:sz w:val="20"/>
          <w:szCs w:val="20"/>
          <w:lang w:eastAsia="pt-BR"/>
        </w:rPr>
        <w:t xml:space="preserve"> A licitação será realizada em lote único, formados por </w:t>
      </w:r>
      <w:r w:rsidRPr="00983F71">
        <w:rPr>
          <w:rFonts w:ascii="Arial" w:eastAsia="Times New Roman" w:hAnsi="Arial" w:cs="Arial"/>
          <w:color w:val="FF0000"/>
          <w:sz w:val="20"/>
          <w:szCs w:val="20"/>
          <w:highlight w:val="yellow"/>
          <w:lang w:eastAsia="pt-BR"/>
        </w:rPr>
        <w:t>.......</w:t>
      </w:r>
      <w:r w:rsidRPr="00983F71">
        <w:rPr>
          <w:rFonts w:ascii="Arial" w:eastAsia="Times New Roman" w:hAnsi="Arial" w:cs="Arial"/>
          <w:color w:val="FF0000"/>
          <w:sz w:val="20"/>
          <w:szCs w:val="20"/>
          <w:lang w:eastAsia="pt-BR"/>
        </w:rPr>
        <w:t xml:space="preserve"> itens, conforme tabela constante neste Termo de Referência, devendo o licitante oferecer proposta para todos os itens que o compõem.</w:t>
      </w: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p>
    <w:p w:rsidR="00983F71" w:rsidRPr="00983F71" w:rsidRDefault="00983F71" w:rsidP="00983F71">
      <w:pPr>
        <w:widowControl w:val="0"/>
        <w:spacing w:after="0" w:line="240" w:lineRule="auto"/>
        <w:jc w:val="both"/>
        <w:rPr>
          <w:rFonts w:ascii="Arial" w:eastAsia="Times New Roman" w:hAnsi="Arial" w:cs="Arial"/>
          <w:color w:val="FF0000"/>
          <w:sz w:val="20"/>
          <w:szCs w:val="20"/>
          <w:lang w:eastAsia="pt-BR"/>
        </w:rPr>
      </w:pPr>
      <w:r w:rsidRPr="00983F71">
        <w:rPr>
          <w:rFonts w:ascii="Arial" w:eastAsia="Times New Roman" w:hAnsi="Arial" w:cs="Arial"/>
          <w:b/>
          <w:color w:val="FF0000"/>
          <w:sz w:val="20"/>
          <w:szCs w:val="20"/>
          <w:lang w:eastAsia="pt-BR"/>
        </w:rPr>
        <w:t>5.2.</w:t>
      </w:r>
      <w:r w:rsidRPr="00983F71">
        <w:rPr>
          <w:rFonts w:ascii="Arial" w:eastAsia="Times New Roman" w:hAnsi="Arial" w:cs="Arial"/>
          <w:color w:val="FF0000"/>
          <w:sz w:val="20"/>
          <w:szCs w:val="20"/>
          <w:lang w:eastAsia="pt-BR"/>
        </w:rPr>
        <w:t xml:space="preserve"> O critério de julgamento adotado será o </w:t>
      </w:r>
      <w:r w:rsidRPr="00983F71">
        <w:rPr>
          <w:rFonts w:ascii="Arial" w:eastAsia="Times New Roman" w:hAnsi="Arial" w:cs="Arial"/>
          <w:color w:val="FF0000"/>
          <w:sz w:val="20"/>
          <w:szCs w:val="20"/>
          <w:highlight w:val="yellow"/>
          <w:lang w:eastAsia="pt-BR"/>
        </w:rPr>
        <w:t>menor preço/maior desconto</w:t>
      </w:r>
      <w:r w:rsidRPr="00983F71">
        <w:rPr>
          <w:rFonts w:ascii="Arial" w:eastAsia="Times New Roman" w:hAnsi="Arial" w:cs="Arial"/>
          <w:color w:val="FF0000"/>
          <w:sz w:val="20"/>
          <w:szCs w:val="20"/>
          <w:lang w:eastAsia="pt-BR"/>
        </w:rPr>
        <w:t xml:space="preserve"> global do lote, observadas as exigências contidas no Edital e seus Anexos quanto às especificações do objeto</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FFFF00" w:fill="FFFF00"/>
        <w:spacing w:after="0" w:line="240" w:lineRule="auto"/>
        <w:jc w:val="both"/>
        <w:rPr>
          <w:rFonts w:ascii="Arial" w:eastAsia="Times New Roman" w:hAnsi="Arial" w:cs="Arial"/>
          <w:b/>
          <w:sz w:val="20"/>
          <w:szCs w:val="24"/>
          <w:lang w:eastAsia="pt-BR"/>
        </w:rPr>
      </w:pPr>
      <w:r w:rsidRPr="00983F71">
        <w:rPr>
          <w:rFonts w:ascii="Arial" w:eastAsia="Times New Roman" w:hAnsi="Arial" w:cs="Arial"/>
          <w:b/>
          <w:sz w:val="20"/>
          <w:szCs w:val="24"/>
          <w:lang w:eastAsia="pt-BR"/>
        </w:rPr>
        <w:t>Orientações Práticas</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FFFF00" w:fill="FFFF00"/>
        <w:spacing w:after="0" w:line="240" w:lineRule="auto"/>
        <w:jc w:val="both"/>
        <w:rPr>
          <w:rFonts w:ascii="Arial" w:eastAsia="Times New Roman" w:hAnsi="Arial" w:cs="Arial"/>
          <w:b/>
          <w:sz w:val="20"/>
          <w:szCs w:val="24"/>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FFFF00" w:fill="FFFF00"/>
        <w:spacing w:after="0" w:line="240" w:lineRule="auto"/>
        <w:jc w:val="both"/>
        <w:rPr>
          <w:rFonts w:ascii="Arial" w:eastAsia="Times New Roman" w:hAnsi="Arial" w:cs="Arial"/>
          <w:i/>
          <w:sz w:val="20"/>
          <w:szCs w:val="24"/>
          <w:lang w:eastAsia="pt-BR"/>
        </w:rPr>
      </w:pPr>
      <w:r w:rsidRPr="00983F71">
        <w:rPr>
          <w:rFonts w:ascii="Arial" w:eastAsia="Times New Roman" w:hAnsi="Arial" w:cs="Arial"/>
          <w:sz w:val="20"/>
          <w:szCs w:val="24"/>
          <w:lang w:eastAsia="pt-BR"/>
        </w:rPr>
        <w:t>Segundo reza o art. 7º do Decreto n. 15.327/2019, “</w:t>
      </w:r>
      <w:r w:rsidRPr="00983F71">
        <w:rPr>
          <w:rFonts w:ascii="Arial" w:eastAsia="Times New Roman" w:hAnsi="Arial" w:cs="Arial"/>
          <w:i/>
          <w:sz w:val="20"/>
          <w:szCs w:val="24"/>
          <w:lang w:eastAsia="pt-BR"/>
        </w:rPr>
        <w:t xml:space="preserve">os critérios de julgamento empregados na seleção da proposta mais vantajosa para a Administração serão os de </w:t>
      </w:r>
      <w:r w:rsidRPr="00983F71">
        <w:rPr>
          <w:rFonts w:ascii="Arial" w:eastAsia="Times New Roman" w:hAnsi="Arial" w:cs="Arial"/>
          <w:b/>
          <w:i/>
          <w:sz w:val="20"/>
          <w:szCs w:val="24"/>
          <w:lang w:eastAsia="pt-BR"/>
        </w:rPr>
        <w:t>menor preço</w:t>
      </w:r>
      <w:r w:rsidRPr="00983F71">
        <w:rPr>
          <w:rFonts w:ascii="Arial" w:eastAsia="Times New Roman" w:hAnsi="Arial" w:cs="Arial"/>
          <w:i/>
          <w:sz w:val="20"/>
          <w:szCs w:val="24"/>
          <w:lang w:eastAsia="pt-BR"/>
        </w:rPr>
        <w:t xml:space="preserve"> </w:t>
      </w:r>
      <w:r w:rsidRPr="00983F71">
        <w:rPr>
          <w:rFonts w:ascii="Arial" w:eastAsia="Times New Roman" w:hAnsi="Arial" w:cs="Arial"/>
          <w:i/>
          <w:sz w:val="20"/>
          <w:szCs w:val="24"/>
          <w:u w:val="single"/>
          <w:lang w:eastAsia="pt-BR"/>
        </w:rPr>
        <w:t>ou</w:t>
      </w:r>
      <w:r w:rsidRPr="00983F71">
        <w:rPr>
          <w:rFonts w:ascii="Arial" w:eastAsia="Times New Roman" w:hAnsi="Arial" w:cs="Arial"/>
          <w:i/>
          <w:sz w:val="20"/>
          <w:szCs w:val="24"/>
          <w:lang w:eastAsia="pt-BR"/>
        </w:rPr>
        <w:t xml:space="preserve"> de </w:t>
      </w:r>
      <w:r w:rsidRPr="00983F71">
        <w:rPr>
          <w:rFonts w:ascii="Arial" w:eastAsia="Times New Roman" w:hAnsi="Arial" w:cs="Arial"/>
          <w:b/>
          <w:i/>
          <w:sz w:val="20"/>
          <w:szCs w:val="24"/>
          <w:lang w:eastAsia="pt-BR"/>
        </w:rPr>
        <w:t>maior desconto</w:t>
      </w:r>
      <w:r w:rsidRPr="00983F71">
        <w:rPr>
          <w:rFonts w:ascii="Arial" w:eastAsia="Times New Roman" w:hAnsi="Arial" w:cs="Arial"/>
          <w:i/>
          <w:sz w:val="20"/>
          <w:szCs w:val="24"/>
          <w:lang w:eastAsia="pt-BR"/>
        </w:rPr>
        <w:t>, conforme dispuser o edital”</w:t>
      </w:r>
      <w:r w:rsidRPr="00983F71">
        <w:rPr>
          <w:rFonts w:ascii="Arial" w:eastAsia="Times New Roman" w:hAnsi="Arial" w:cs="Arial"/>
          <w:sz w:val="20"/>
          <w:szCs w:val="24"/>
          <w:lang w:eastAsia="pt-BR"/>
        </w:rPr>
        <w:t>.</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FFFF00" w:fill="FFFF00"/>
        <w:spacing w:after="0" w:line="240" w:lineRule="auto"/>
        <w:jc w:val="both"/>
        <w:rPr>
          <w:rFonts w:ascii="Arial" w:eastAsia="Times New Roman" w:hAnsi="Arial" w:cs="Arial"/>
          <w:sz w:val="20"/>
          <w:szCs w:val="24"/>
          <w:lang w:eastAsia="pt-BR"/>
        </w:rPr>
      </w:pPr>
      <w:r w:rsidRPr="00983F71">
        <w:rPr>
          <w:rFonts w:ascii="Arial" w:eastAsia="Times New Roman" w:hAnsi="Arial" w:cs="Arial"/>
          <w:sz w:val="20"/>
          <w:szCs w:val="24"/>
          <w:lang w:eastAsia="pt-BR"/>
        </w:rPr>
        <w:t>Além disso, a depender da formatação escolhida no Estudo Técnico Preliminar, é possível ocorrer o agrupamento de itens em lotes.</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FFFF00" w:fill="FFFF00"/>
        <w:spacing w:after="0" w:line="240" w:lineRule="auto"/>
        <w:jc w:val="both"/>
        <w:rPr>
          <w:rFonts w:ascii="Arial" w:eastAsia="Times New Roman" w:hAnsi="Arial" w:cs="Arial"/>
          <w:sz w:val="20"/>
          <w:szCs w:val="24"/>
          <w:lang w:eastAsia="pt-BR"/>
        </w:rPr>
      </w:pPr>
      <w:r w:rsidRPr="00983F71">
        <w:rPr>
          <w:rFonts w:ascii="Arial" w:eastAsia="Times New Roman" w:hAnsi="Arial" w:cs="Arial"/>
          <w:sz w:val="20"/>
          <w:szCs w:val="24"/>
          <w:lang w:eastAsia="pt-BR"/>
        </w:rPr>
        <w:t>Assim, cabe à autoridade competente definir qual desses critérios de julgamento será adotado, embasado em elementos técnicos que possibilitem a escolha da proposta mais vantajosa à Administração Pública, conforme disposição prevista no art. 3.º, incisos I e III, da Lei Federal n. 10.520/2002.</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Calibri" w:hAnsi="Arial" w:cs="Arial"/>
          <w:sz w:val="20"/>
          <w:szCs w:val="20"/>
        </w:rPr>
      </w:pPr>
      <w:r w:rsidRPr="00983F71">
        <w:rPr>
          <w:rFonts w:ascii="Arial" w:eastAsia="Calibri" w:hAnsi="Arial" w:cs="Arial"/>
          <w:b/>
          <w:bCs/>
          <w:sz w:val="20"/>
          <w:szCs w:val="20"/>
        </w:rPr>
        <w:t>6.</w:t>
      </w:r>
      <w:r w:rsidRPr="00983F71">
        <w:rPr>
          <w:rFonts w:ascii="Arial" w:eastAsia="Calibri" w:hAnsi="Arial" w:cs="Arial"/>
          <w:sz w:val="20"/>
          <w:szCs w:val="20"/>
        </w:rPr>
        <w:t xml:space="preserve"> </w:t>
      </w:r>
      <w:r w:rsidRPr="00983F71">
        <w:rPr>
          <w:rFonts w:ascii="Arial" w:eastAsia="Calibri" w:hAnsi="Arial" w:cs="Arial"/>
          <w:b/>
          <w:bCs/>
          <w:sz w:val="20"/>
          <w:szCs w:val="20"/>
        </w:rPr>
        <w:t>PARCELAMENTO DO OBJETO</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Calibri" w:hAnsi="Arial" w:cs="Arial"/>
          <w:b/>
          <w:color w:val="FF0000"/>
          <w:sz w:val="20"/>
          <w:szCs w:val="20"/>
        </w:rPr>
      </w:pPr>
      <w:r w:rsidRPr="00983F71">
        <w:rPr>
          <w:rFonts w:ascii="Arial" w:eastAsia="Calibri" w:hAnsi="Arial" w:cs="Arial"/>
          <w:b/>
          <w:bCs/>
          <w:color w:val="FF0000"/>
          <w:sz w:val="20"/>
          <w:szCs w:val="20"/>
        </w:rPr>
        <w:t>6.1.</w:t>
      </w:r>
      <w:r w:rsidRPr="00983F71">
        <w:rPr>
          <w:rFonts w:ascii="Arial" w:eastAsia="Calibri" w:hAnsi="Arial" w:cs="Arial"/>
          <w:color w:val="FF0000"/>
          <w:sz w:val="20"/>
          <w:szCs w:val="20"/>
        </w:rPr>
        <w:t xml:space="preserve"> </w:t>
      </w:r>
      <w:r w:rsidRPr="00983F71">
        <w:rPr>
          <w:rFonts w:ascii="Arial" w:eastAsia="Calibri" w:hAnsi="Arial" w:cs="Arial"/>
          <w:color w:val="FF0000"/>
          <w:sz w:val="20"/>
          <w:szCs w:val="20"/>
          <w:highlight w:val="yellow"/>
        </w:rPr>
        <w:t>...</w:t>
      </w:r>
    </w:p>
    <w:p w:rsidR="00983F71" w:rsidRPr="00983F71" w:rsidRDefault="00983F71" w:rsidP="00983F71">
      <w:pPr>
        <w:spacing w:after="0" w:line="240" w:lineRule="auto"/>
        <w:jc w:val="both"/>
        <w:rPr>
          <w:rFonts w:ascii="Arial" w:eastAsia="Times New Roman" w:hAnsi="Arial" w:cs="Arial"/>
          <w:b/>
          <w:color w:val="FF0000"/>
          <w:sz w:val="20"/>
          <w:szCs w:val="24"/>
          <w:highlight w:val="yellow"/>
          <w:u w:val="single"/>
          <w:lang w:eastAsia="pt-BR"/>
        </w:rPr>
      </w:pP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b/>
          <w:sz w:val="20"/>
          <w:szCs w:val="20"/>
        </w:rPr>
        <w:t>Orientações práticas:</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sz w:val="20"/>
          <w:szCs w:val="20"/>
        </w:rPr>
        <w:t>O art. 5º, VII, do Decreto n.º 15.524/2020 estabeleceu como elemento obrigatório do ETP a justificativa para o parcelamento ou não da solução e fixou diretrizes para orientarem a decisão no art. 9º, II, § único.</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sz w:val="20"/>
          <w:szCs w:val="20"/>
        </w:rPr>
        <w:t>Assim, a equipe de planejamento deverá apresentar as justificativas extraídas do ETP, indicando a opção pelo parcelamento ou não da solução.</w:t>
      </w: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spacing w:after="0" w:line="240" w:lineRule="auto"/>
        <w:jc w:val="both"/>
        <w:rPr>
          <w:rFonts w:ascii="Arial" w:eastAsia="Times New Roman" w:hAnsi="Arial" w:cs="Arial"/>
          <w:b/>
          <w:sz w:val="20"/>
          <w:szCs w:val="24"/>
          <w:lang w:eastAsia="pt-BR"/>
        </w:rPr>
      </w:pPr>
      <w:r w:rsidRPr="00983F71">
        <w:rPr>
          <w:rFonts w:ascii="Arial" w:eastAsia="Times New Roman" w:hAnsi="Arial" w:cs="Arial"/>
          <w:b/>
          <w:sz w:val="20"/>
          <w:szCs w:val="24"/>
          <w:lang w:eastAsia="pt-BR"/>
        </w:rPr>
        <w:t>6.2. Consórcio</w:t>
      </w:r>
    </w:p>
    <w:p w:rsidR="00983F71" w:rsidRPr="00983F71" w:rsidRDefault="00983F71" w:rsidP="00983F71">
      <w:pPr>
        <w:spacing w:after="0" w:line="240" w:lineRule="auto"/>
        <w:jc w:val="both"/>
        <w:rPr>
          <w:rFonts w:ascii="Arial" w:eastAsia="Times New Roman" w:hAnsi="Arial" w:cs="Arial"/>
          <w:b/>
          <w:sz w:val="20"/>
          <w:szCs w:val="24"/>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4"/>
          <w:lang w:eastAsia="pt-BR"/>
        </w:rPr>
      </w:pPr>
      <w:r w:rsidRPr="00983F71">
        <w:rPr>
          <w:rFonts w:ascii="Arial" w:eastAsia="Times New Roman" w:hAnsi="Arial" w:cs="Arial"/>
          <w:b/>
          <w:sz w:val="20"/>
          <w:szCs w:val="24"/>
          <w:lang w:eastAsia="pt-BR"/>
        </w:rPr>
        <w:t>Nota explicativa:</w:t>
      </w:r>
      <w:r w:rsidRPr="00983F71">
        <w:rPr>
          <w:rFonts w:ascii="Arial" w:eastAsia="Times New Roman" w:hAnsi="Arial" w:cs="Arial"/>
          <w:sz w:val="20"/>
          <w:szCs w:val="24"/>
          <w:lang w:eastAsia="pt-BR"/>
        </w:rPr>
        <w:t xml:space="preserve"> Caso a equipe de planejamento não permita a participação de empresas em consórcio, poderá adotar a primeira redação sugestiva abaixo. No entanto, caso identifique que a permissão à participação de empresas reunidas em consórcio valorizará a competição, deverá adotar a segunda opção de redação, motivando sua decisão nos autos do processo.</w:t>
      </w: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4"/>
          <w:lang w:eastAsia="pt-BR"/>
        </w:rPr>
      </w:pPr>
      <w:r w:rsidRPr="00983F71">
        <w:rPr>
          <w:rFonts w:ascii="Arial" w:eastAsia="Times New Roman" w:hAnsi="Arial" w:cs="Arial"/>
          <w:sz w:val="20"/>
          <w:szCs w:val="24"/>
          <w:lang w:eastAsia="pt-BR"/>
        </w:rPr>
        <w:t>A escolha ficará a cargo da equipe de planejamento.</w:t>
      </w:r>
    </w:p>
    <w:p w:rsidR="00983F71" w:rsidRPr="00983F71" w:rsidRDefault="00983F71" w:rsidP="00983F71">
      <w:pPr>
        <w:spacing w:after="0" w:line="240" w:lineRule="auto"/>
        <w:jc w:val="both"/>
        <w:rPr>
          <w:rFonts w:ascii="Arial" w:eastAsia="Times New Roman" w:hAnsi="Arial" w:cs="Arial"/>
          <w:b/>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color w:val="FF0000"/>
          <w:sz w:val="20"/>
          <w:szCs w:val="24"/>
          <w:lang w:eastAsia="pt-BR"/>
        </w:rPr>
        <w:t xml:space="preserve">6.2.1. </w:t>
      </w:r>
      <w:r w:rsidRPr="00983F71">
        <w:rPr>
          <w:rFonts w:ascii="Arial" w:eastAsia="Times New Roman" w:hAnsi="Arial" w:cs="Arial"/>
          <w:color w:val="FF0000"/>
          <w:sz w:val="20"/>
          <w:szCs w:val="24"/>
          <w:lang w:eastAsia="pt-BR"/>
        </w:rPr>
        <w:t>Não será permitida a participação de empresas reunidas em consórcio, devido à baixa complexidade do objeto a ser contratado, somando-se ao fato de não se cuidar de contratação de grande vulto.</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r w:rsidRPr="00983F71">
        <w:rPr>
          <w:rFonts w:ascii="Arial" w:eastAsia="Times New Roman" w:hAnsi="Arial" w:cs="Arial"/>
          <w:b/>
          <w:color w:val="FF0000"/>
          <w:sz w:val="20"/>
          <w:szCs w:val="24"/>
          <w:highlight w:val="yellow"/>
          <w:lang w:eastAsia="pt-BR"/>
        </w:rPr>
        <w:t>OU</w:t>
      </w:r>
    </w:p>
    <w:p w:rsidR="00983F71" w:rsidRPr="00983F71" w:rsidRDefault="00983F71" w:rsidP="00983F71">
      <w:pPr>
        <w:spacing w:after="0" w:line="240" w:lineRule="auto"/>
        <w:jc w:val="both"/>
        <w:rPr>
          <w:rFonts w:ascii="Arial" w:eastAsia="Times New Roman" w:hAnsi="Arial" w:cs="Arial"/>
          <w:b/>
          <w:color w:val="FF0000"/>
          <w:sz w:val="20"/>
          <w:szCs w:val="24"/>
          <w:u w:val="single"/>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color w:val="FF0000"/>
          <w:sz w:val="20"/>
          <w:szCs w:val="24"/>
          <w:lang w:eastAsia="pt-BR"/>
        </w:rPr>
        <w:t>6.2.1.</w:t>
      </w:r>
      <w:r w:rsidRPr="00983F71">
        <w:rPr>
          <w:rFonts w:ascii="Arial" w:eastAsia="Times New Roman" w:hAnsi="Arial" w:cs="Arial"/>
          <w:color w:val="FF0000"/>
          <w:sz w:val="20"/>
          <w:szCs w:val="24"/>
          <w:lang w:eastAsia="pt-BR"/>
        </w:rPr>
        <w:t xml:space="preserve"> Para o objeto a ser licitado a permissão de consórcios é a alternativa mais vantajosa pois, </w:t>
      </w:r>
      <w:r w:rsidRPr="00983F71">
        <w:rPr>
          <w:rFonts w:ascii="Arial" w:eastAsia="Times New Roman" w:hAnsi="Arial" w:cs="Arial"/>
          <w:color w:val="FF0000"/>
          <w:sz w:val="20"/>
          <w:szCs w:val="24"/>
          <w:highlight w:val="yellow"/>
          <w:lang w:eastAsia="pt-BR"/>
        </w:rPr>
        <w:t>(...)</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b/>
          <w:sz w:val="20"/>
          <w:szCs w:val="20"/>
        </w:rPr>
        <w:t>Orientações práticas:</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sz w:val="20"/>
          <w:szCs w:val="20"/>
        </w:rPr>
        <w:t xml:space="preserve">Quanto à admissão ou não de consórcio de empresas em licitações e contratações, a jurisprudência do TCU já se firmou no sentido de que a decisão é competência discricionária do administrador, devendo este </w:t>
      </w:r>
      <w:r w:rsidRPr="00983F71">
        <w:rPr>
          <w:rFonts w:ascii="Arial" w:eastAsia="Calibri" w:hAnsi="Arial" w:cs="Arial"/>
          <w:sz w:val="20"/>
          <w:szCs w:val="20"/>
          <w:u w:val="single"/>
        </w:rPr>
        <w:t>exercê-la sempre mediante justificativa fundamentada</w:t>
      </w:r>
      <w:r w:rsidRPr="00983F71">
        <w:rPr>
          <w:rFonts w:ascii="Arial" w:eastAsia="Calibri" w:hAnsi="Arial" w:cs="Arial"/>
          <w:sz w:val="20"/>
          <w:szCs w:val="20"/>
        </w:rPr>
        <w:t>.</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sz w:val="20"/>
          <w:szCs w:val="20"/>
        </w:rPr>
        <w:t>No entanto, segundo o parecer PGE/MS/CJUR-SUCOMP/N. 032/2020 (aprovado pela decisão PGE/MS/GAB/N. 401/2020), fica dispensada a motivação para permissão de reunião de empresas em consórcio diante de uma contratação de objeto de natureza comum e de pequeno vulto</w:t>
      </w:r>
      <w:r w:rsidRPr="00983F71">
        <w:rPr>
          <w:rFonts w:ascii="Arial" w:eastAsia="Calibri" w:hAnsi="Arial" w:cs="Arial"/>
          <w:i/>
          <w:sz w:val="20"/>
          <w:szCs w:val="20"/>
        </w:rPr>
        <w:t xml:space="preserve">: </w:t>
      </w:r>
      <w:r w:rsidRPr="00983F71">
        <w:rPr>
          <w:rFonts w:ascii="Arial" w:eastAsia="Calibri" w:hAnsi="Arial" w:cs="Arial"/>
          <w:sz w:val="20"/>
          <w:szCs w:val="20"/>
        </w:rPr>
        <w:t>“</w:t>
      </w:r>
      <w:r w:rsidRPr="00983F71">
        <w:rPr>
          <w:rFonts w:ascii="Arial" w:eastAsia="Calibri" w:hAnsi="Arial" w:cs="Arial"/>
          <w:i/>
          <w:sz w:val="20"/>
          <w:szCs w:val="20"/>
        </w:rPr>
        <w:t>A falta de motivação da não participação de consórcio não importa em nulidade do procedimento ou restrição à competitividade, por estar-se diante de uma contratação de objeto de natureza comum (aquisição de medicamentos) e de pequeno vulto, uma vez aquela afigura-se implícita ou in re ipsa (ou seja, imanente ao próprio objeto)”</w:t>
      </w:r>
      <w:r w:rsidRPr="00983F71">
        <w:rPr>
          <w:rFonts w:ascii="Arial" w:eastAsia="Calibri" w:hAnsi="Arial" w:cs="Arial"/>
          <w:sz w:val="20"/>
          <w:szCs w:val="20"/>
        </w:rPr>
        <w:t>. Para essa hipótese, basta seguir a primeira redação sugerida.</w:t>
      </w:r>
    </w:p>
    <w:p w:rsidR="00983F71" w:rsidRPr="00983F71" w:rsidRDefault="00983F71" w:rsidP="00983F71">
      <w:pPr>
        <w:spacing w:after="0" w:line="240" w:lineRule="auto"/>
        <w:jc w:val="both"/>
        <w:rPr>
          <w:rFonts w:ascii="Arial" w:eastAsia="Calibri" w:hAnsi="Arial" w:cs="Arial"/>
          <w:sz w:val="20"/>
          <w:szCs w:val="20"/>
        </w:rPr>
      </w:pPr>
    </w:p>
    <w:p w:rsidR="00983F71" w:rsidRPr="00983F71" w:rsidRDefault="00983F71" w:rsidP="00983F71">
      <w:pPr>
        <w:spacing w:after="0" w:line="240" w:lineRule="auto"/>
        <w:jc w:val="both"/>
        <w:rPr>
          <w:rFonts w:ascii="Arial" w:eastAsia="Calibri" w:hAnsi="Arial" w:cs="Arial"/>
          <w:sz w:val="20"/>
          <w:szCs w:val="20"/>
        </w:rPr>
      </w:pPr>
    </w:p>
    <w:p w:rsidR="00983F71" w:rsidRPr="00983F71" w:rsidRDefault="00983F71" w:rsidP="00983F71">
      <w:pPr>
        <w:spacing w:after="0" w:line="240" w:lineRule="auto"/>
        <w:jc w:val="both"/>
        <w:rPr>
          <w:rFonts w:ascii="Arial" w:eastAsia="Times New Roman" w:hAnsi="Arial" w:cs="Arial"/>
          <w:b/>
          <w:sz w:val="20"/>
          <w:szCs w:val="24"/>
          <w:lang w:eastAsia="pt-BR"/>
        </w:rPr>
      </w:pPr>
      <w:r w:rsidRPr="00983F71">
        <w:rPr>
          <w:rFonts w:ascii="Arial" w:eastAsia="Times New Roman" w:hAnsi="Arial" w:cs="Arial"/>
          <w:b/>
          <w:sz w:val="20"/>
          <w:szCs w:val="24"/>
          <w:lang w:eastAsia="pt-BR"/>
        </w:rPr>
        <w:t>6.3. Subcontratação</w:t>
      </w:r>
    </w:p>
    <w:p w:rsidR="00983F71" w:rsidRPr="00983F71" w:rsidRDefault="00983F71" w:rsidP="00983F71">
      <w:pPr>
        <w:spacing w:after="0" w:line="240" w:lineRule="auto"/>
        <w:jc w:val="both"/>
        <w:rPr>
          <w:rFonts w:ascii="Arial" w:eastAsia="Times New Roman" w:hAnsi="Arial" w:cs="Arial"/>
          <w:b/>
          <w:sz w:val="20"/>
          <w:szCs w:val="24"/>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4"/>
          <w:lang w:eastAsia="pt-BR"/>
        </w:rPr>
      </w:pPr>
      <w:r w:rsidRPr="00983F71">
        <w:rPr>
          <w:rFonts w:ascii="Arial" w:eastAsia="Times New Roman" w:hAnsi="Arial" w:cs="Arial"/>
          <w:b/>
          <w:sz w:val="20"/>
          <w:szCs w:val="24"/>
          <w:lang w:eastAsia="pt-BR"/>
        </w:rPr>
        <w:t>Nota explicativa:</w:t>
      </w:r>
      <w:r w:rsidRPr="00983F71">
        <w:rPr>
          <w:rFonts w:ascii="Arial" w:eastAsia="Times New Roman" w:hAnsi="Arial" w:cs="Arial"/>
          <w:sz w:val="20"/>
          <w:szCs w:val="24"/>
          <w:lang w:eastAsia="pt-BR"/>
        </w:rPr>
        <w:t xml:space="preserve"> A redação que segue é meramente ilustrativa e contempla a vedação à subcontratação, assim como a subcontratação parcial do objeto.</w:t>
      </w: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4"/>
          <w:lang w:eastAsia="pt-BR"/>
        </w:rPr>
      </w:pPr>
      <w:r w:rsidRPr="00983F71">
        <w:rPr>
          <w:rFonts w:ascii="Arial" w:eastAsia="Times New Roman" w:hAnsi="Arial" w:cs="Arial"/>
          <w:sz w:val="20"/>
          <w:szCs w:val="24"/>
          <w:lang w:eastAsia="pt-BR"/>
        </w:rPr>
        <w:t>A escolha ficará a cargo da equipe de planejamento, observando as peculiaridades de cada aquisição.</w:t>
      </w:r>
    </w:p>
    <w:p w:rsidR="00983F71" w:rsidRPr="00983F71" w:rsidRDefault="00983F71" w:rsidP="00983F71">
      <w:pPr>
        <w:spacing w:after="0" w:line="240" w:lineRule="auto"/>
        <w:jc w:val="both"/>
        <w:rPr>
          <w:rFonts w:ascii="Arial" w:eastAsia="Times New Roman" w:hAnsi="Arial" w:cs="Arial"/>
          <w:b/>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color w:val="FF0000"/>
          <w:sz w:val="20"/>
          <w:szCs w:val="24"/>
          <w:lang w:eastAsia="pt-BR"/>
        </w:rPr>
        <w:t xml:space="preserve">6.3.1. </w:t>
      </w:r>
      <w:r w:rsidRPr="00983F71">
        <w:rPr>
          <w:rFonts w:ascii="Arial" w:eastAsia="Times New Roman" w:hAnsi="Arial" w:cs="Arial"/>
          <w:color w:val="FF0000"/>
          <w:sz w:val="20"/>
          <w:szCs w:val="24"/>
          <w:lang w:eastAsia="pt-BR"/>
        </w:rPr>
        <w:t>Não será admitida a subcontratação do objeto licitatório.</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r w:rsidRPr="00983F71">
        <w:rPr>
          <w:rFonts w:ascii="Arial" w:eastAsia="Times New Roman" w:hAnsi="Arial" w:cs="Arial"/>
          <w:b/>
          <w:color w:val="FF0000"/>
          <w:sz w:val="20"/>
          <w:szCs w:val="24"/>
          <w:highlight w:val="yellow"/>
          <w:lang w:eastAsia="pt-BR"/>
        </w:rPr>
        <w:t>OU</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color w:val="FF0000"/>
          <w:sz w:val="20"/>
          <w:szCs w:val="24"/>
          <w:lang w:eastAsia="pt-BR"/>
        </w:rPr>
        <w:t>6.3.1</w:t>
      </w:r>
      <w:r w:rsidRPr="00983F71">
        <w:rPr>
          <w:rFonts w:ascii="Arial" w:eastAsia="Times New Roman" w:hAnsi="Arial" w:cs="Arial"/>
          <w:color w:val="FF0000"/>
          <w:sz w:val="20"/>
          <w:szCs w:val="24"/>
          <w:lang w:eastAsia="pt-BR"/>
        </w:rPr>
        <w:t xml:space="preserve">. É permitida a subcontratação parcial do objeto, até o limite de </w:t>
      </w:r>
      <w:r w:rsidRPr="00983F71">
        <w:rPr>
          <w:rFonts w:ascii="Arial" w:eastAsia="Times New Roman" w:hAnsi="Arial" w:cs="Arial"/>
          <w:color w:val="FF0000"/>
          <w:sz w:val="20"/>
          <w:szCs w:val="24"/>
          <w:highlight w:val="yellow"/>
          <w:lang w:eastAsia="pt-BR"/>
        </w:rPr>
        <w:t>.................... % ( ....................)</w:t>
      </w:r>
      <w:r w:rsidRPr="00983F71">
        <w:rPr>
          <w:rFonts w:ascii="Arial" w:eastAsia="Times New Roman" w:hAnsi="Arial" w:cs="Arial"/>
          <w:color w:val="FF0000"/>
          <w:sz w:val="20"/>
          <w:szCs w:val="24"/>
          <w:lang w:eastAsia="pt-BR"/>
        </w:rPr>
        <w:t xml:space="preserve"> do valor total do contrato, nas seguintes condições:</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r w:rsidRPr="00983F71">
        <w:rPr>
          <w:rFonts w:ascii="Arial" w:eastAsia="Times New Roman" w:hAnsi="Arial" w:cs="Arial"/>
          <w:b/>
          <w:color w:val="FF0000"/>
          <w:sz w:val="20"/>
          <w:szCs w:val="24"/>
          <w:lang w:eastAsia="pt-BR"/>
        </w:rPr>
        <w:lastRenderedPageBreak/>
        <w:t xml:space="preserve">6.3.1.1. </w:t>
      </w:r>
      <w:r w:rsidRPr="00983F71">
        <w:rPr>
          <w:rFonts w:ascii="Arial" w:eastAsia="Times New Roman" w:hAnsi="Arial" w:cs="Arial"/>
          <w:color w:val="FF0000"/>
          <w:sz w:val="20"/>
          <w:szCs w:val="24"/>
          <w:highlight w:val="yellow"/>
          <w:lang w:eastAsia="pt-BR"/>
        </w:rPr>
        <w:t>...</w:t>
      </w: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r w:rsidRPr="00983F71">
        <w:rPr>
          <w:rFonts w:ascii="Arial" w:eastAsia="Times New Roman" w:hAnsi="Arial" w:cs="Arial"/>
          <w:b/>
          <w:color w:val="FF0000"/>
          <w:sz w:val="20"/>
          <w:szCs w:val="24"/>
          <w:lang w:eastAsia="pt-BR"/>
        </w:rPr>
        <w:t xml:space="preserve">6.3.1.2. </w:t>
      </w:r>
      <w:r w:rsidRPr="00983F71">
        <w:rPr>
          <w:rFonts w:ascii="Arial" w:eastAsia="Times New Roman" w:hAnsi="Arial" w:cs="Arial"/>
          <w:color w:val="FF0000"/>
          <w:sz w:val="20"/>
          <w:szCs w:val="24"/>
          <w:highlight w:val="yellow"/>
          <w:lang w:eastAsia="pt-BR"/>
        </w:rPr>
        <w:t>...</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b/>
          <w:sz w:val="20"/>
          <w:szCs w:val="20"/>
        </w:rPr>
        <w:t>Orientações práticas:</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sz w:val="20"/>
          <w:szCs w:val="20"/>
        </w:rPr>
        <w:t>Dispõe a Lei nº 8.666/93, em seu art. 72, que a contratada, na execução do contrato, sem prejuízo das responsabilidades contratuais e legais, poderá subcontratar partes do serviço ou fornecimento, até o limite admitido, em cada caso, pela Administração.</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sz w:val="20"/>
          <w:szCs w:val="20"/>
        </w:rPr>
        <w:t xml:space="preserve">Assim, a pertinência da subcontratação deverá ser analisada pela Administração em cada caso concreto, especialmente considerada a complexidade do objeto da contratação. </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sz w:val="20"/>
          <w:szCs w:val="20"/>
        </w:rPr>
        <w:t>Caso admitida, a Administração autorizará a subcontratação mediante ato motivado, a comprovar que a medida atende às recomendações do TR e convém à consecução das finalidades do contrato, bem como estabelecerá com detalhamento seus limites e condições, inclusive especificando quais parcelas do objeto poderão ser subcontratadas.</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sz w:val="20"/>
          <w:szCs w:val="20"/>
        </w:rPr>
        <w:t>É importante verificar que são vedadas (i) a exigência de subcontratação de itens ou parcelas determinadas ou de empresas específicas; (ii) a subcontratação das parcelas de maior relevância técnica; e (iii) a subcontratação de microempresas ou empresas de pequeno porte que tenham um ou mais sócios em comum com a empresa contratante.</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sz w:val="20"/>
          <w:szCs w:val="20"/>
        </w:rPr>
        <w:t>Quando a qualificação técnica da empresa for fator preponderante para sua contratação e a subcontratação for admitida, é imprescindível que se exija o cumprimento dos mesmos requisitos por parte da subcontratada (Acórdão n° 1.229/2008 – Plenário do TCU).</w:t>
      </w: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color w:val="FF0000"/>
          <w:sz w:val="20"/>
          <w:szCs w:val="24"/>
          <w:lang w:eastAsia="pt-BR"/>
        </w:rPr>
        <w:t>6.3.2.</w:t>
      </w:r>
      <w:r w:rsidRPr="00983F71">
        <w:rPr>
          <w:rFonts w:ascii="Arial" w:eastAsia="Times New Roman" w:hAnsi="Arial" w:cs="Arial"/>
          <w:color w:val="FF0000"/>
          <w:sz w:val="20"/>
          <w:szCs w:val="24"/>
          <w:lang w:eastAsia="pt-BR"/>
        </w:rPr>
        <w:t xml:space="preserve"> A subcontratação depende de autorização prévia da contratante, a quem incumbe verificar a regularidade fiscal e trabalhista da subcontratada e avaliar se esta cumpre os requisitos necessários para a execução do objeto. </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color w:val="FF0000"/>
          <w:sz w:val="20"/>
          <w:szCs w:val="24"/>
          <w:lang w:eastAsia="pt-BR"/>
        </w:rPr>
        <w:t>6.3.3.</w:t>
      </w:r>
      <w:r w:rsidRPr="00983F71">
        <w:rPr>
          <w:rFonts w:ascii="Arial" w:eastAsia="Times New Roman" w:hAnsi="Arial" w:cs="Arial"/>
          <w:color w:val="FF0000"/>
          <w:sz w:val="20"/>
          <w:szCs w:val="24"/>
          <w:lang w:eastAsia="pt-BR"/>
        </w:rPr>
        <w:t xml:space="preserve"> 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Calibri" w:hAnsi="Arial" w:cs="Arial"/>
          <w:sz w:val="20"/>
          <w:szCs w:val="20"/>
        </w:rPr>
      </w:pPr>
      <w:r w:rsidRPr="00983F71">
        <w:rPr>
          <w:rFonts w:ascii="Arial" w:eastAsia="Calibri" w:hAnsi="Arial" w:cs="Arial"/>
          <w:b/>
          <w:bCs/>
          <w:sz w:val="20"/>
          <w:szCs w:val="20"/>
        </w:rPr>
        <w:t>7.</w:t>
      </w:r>
      <w:r w:rsidRPr="00983F71">
        <w:rPr>
          <w:rFonts w:ascii="Arial" w:eastAsia="Calibri" w:hAnsi="Arial" w:cs="Arial"/>
          <w:sz w:val="20"/>
          <w:szCs w:val="20"/>
        </w:rPr>
        <w:t xml:space="preserve"> </w:t>
      </w:r>
      <w:r w:rsidRPr="00983F71">
        <w:rPr>
          <w:rFonts w:ascii="Arial" w:eastAsia="Calibri" w:hAnsi="Arial" w:cs="Arial"/>
          <w:b/>
          <w:bCs/>
          <w:sz w:val="20"/>
          <w:szCs w:val="20"/>
        </w:rPr>
        <w:t>PARTICIPAÇÃO DE MICROEMPRESA E EMPRESA DE PEQUENO PORTE</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color w:val="FF0000"/>
          <w:sz w:val="20"/>
          <w:szCs w:val="24"/>
          <w:lang w:eastAsia="pt-BR"/>
        </w:rPr>
        <w:t>7.1.</w:t>
      </w:r>
      <w:r w:rsidRPr="00983F71">
        <w:rPr>
          <w:rFonts w:ascii="Arial" w:eastAsia="Times New Roman" w:hAnsi="Arial" w:cs="Arial"/>
          <w:color w:val="FF0000"/>
          <w:sz w:val="20"/>
          <w:szCs w:val="24"/>
          <w:lang w:eastAsia="pt-BR"/>
        </w:rPr>
        <w:t xml:space="preserve"> A Lei Complementar n. 123/2006 vem dar tratamento diferenciado e simplificado à participação de ME e EPP e deve ser obrigatoriamente aplicada nas contratações da Administração Pública.      </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color w:val="FF0000"/>
          <w:sz w:val="20"/>
          <w:szCs w:val="24"/>
          <w:lang w:eastAsia="pt-BR"/>
        </w:rPr>
        <w:t>7.2.</w:t>
      </w:r>
      <w:r w:rsidRPr="00983F71">
        <w:rPr>
          <w:rFonts w:ascii="Arial" w:eastAsia="Times New Roman" w:hAnsi="Arial" w:cs="Arial"/>
          <w:color w:val="FF0000"/>
          <w:sz w:val="20"/>
          <w:szCs w:val="24"/>
          <w:lang w:eastAsia="pt-BR"/>
        </w:rPr>
        <w:t xml:space="preserve"> Após a realização de pesquisa de preços, providenciada pela unidade competente, é conhecida a média de preços do </w:t>
      </w:r>
      <w:r w:rsidRPr="00983F71">
        <w:rPr>
          <w:rFonts w:ascii="Arial" w:eastAsia="Times New Roman" w:hAnsi="Arial" w:cs="Arial"/>
          <w:color w:val="FF0000"/>
          <w:sz w:val="20"/>
          <w:szCs w:val="24"/>
          <w:highlight w:val="yellow"/>
          <w:lang w:eastAsia="pt-BR"/>
        </w:rPr>
        <w:t>lote/item</w:t>
      </w:r>
      <w:r w:rsidRPr="00983F71">
        <w:rPr>
          <w:rFonts w:ascii="Arial" w:eastAsia="Times New Roman" w:hAnsi="Arial" w:cs="Arial"/>
          <w:color w:val="FF0000"/>
          <w:sz w:val="20"/>
          <w:szCs w:val="24"/>
          <w:lang w:eastAsia="pt-BR"/>
        </w:rPr>
        <w:t xml:space="preserve">. Assim, caso o valor médio seja de até R$ 80.000,00 será aplicada a exclusividade na participação de ME/EPP conforme inciso I, art. 48, da Lei Complementar 123/2006. </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7.2.1</w:t>
      </w:r>
      <w:r w:rsidRPr="00983F71">
        <w:rPr>
          <w:rFonts w:ascii="Arial" w:eastAsia="Times New Roman" w:hAnsi="Arial" w:cs="Arial"/>
          <w:color w:val="FF0000"/>
          <w:sz w:val="20"/>
          <w:szCs w:val="24"/>
          <w:lang w:eastAsia="pt-BR"/>
        </w:rPr>
        <w:t>. Caso a média de preços obtida seja superior a R$ 80.000,00 poderá ser aplicada cota de até 25% destinada à participação de ME/EPP, nos termos do art. 28 da Lei Complementar estadual n. 197/14.</w:t>
      </w:r>
    </w:p>
    <w:p w:rsidR="00983F71" w:rsidRPr="00983F71" w:rsidRDefault="00983F71" w:rsidP="00983F71">
      <w:pPr>
        <w:spacing w:after="0" w:line="240" w:lineRule="auto"/>
        <w:jc w:val="both"/>
        <w:rPr>
          <w:rFonts w:ascii="Arial" w:eastAsia="Times New Roman" w:hAnsi="Arial" w:cs="Arial"/>
          <w:color w:val="000000"/>
          <w:sz w:val="20"/>
          <w:szCs w:val="24"/>
          <w:lang w:eastAsia="pt-BR"/>
        </w:rPr>
      </w:pP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bCs/>
          <w:sz w:val="20"/>
          <w:szCs w:val="20"/>
        </w:rPr>
      </w:pPr>
      <w:r w:rsidRPr="00983F71">
        <w:rPr>
          <w:rFonts w:ascii="Arial" w:eastAsia="Calibri" w:hAnsi="Arial" w:cs="Arial"/>
          <w:b/>
          <w:bCs/>
          <w:sz w:val="20"/>
          <w:szCs w:val="20"/>
        </w:rPr>
        <w:t>Orientações práticas:</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bCs/>
          <w:sz w:val="20"/>
          <w:szCs w:val="20"/>
        </w:rPr>
      </w:pP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r w:rsidRPr="00983F71">
        <w:rPr>
          <w:rFonts w:ascii="Arial" w:eastAsia="Calibri" w:hAnsi="Arial" w:cs="Arial"/>
          <w:sz w:val="20"/>
          <w:szCs w:val="20"/>
        </w:rPr>
        <w:t xml:space="preserve">De acordo com o disposto no art. 48, I, da LC federal n. 123/2006, nos itens da contratação cujo valor seja de até R$ 80.000,00 (oitenta mil reais), a Administração deve realizar processo licitatório destinado exclusivamente à participação de microempresas e empresas de pequeno porte. </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Cs/>
          <w:sz w:val="20"/>
          <w:szCs w:val="20"/>
        </w:rPr>
      </w:pPr>
      <w:r w:rsidRPr="00983F71">
        <w:rPr>
          <w:rFonts w:ascii="Arial" w:eastAsia="Calibri" w:hAnsi="Arial" w:cs="Arial"/>
          <w:bCs/>
          <w:sz w:val="20"/>
          <w:szCs w:val="20"/>
        </w:rPr>
        <w:t xml:space="preserve">Já para os itens de serviço que ultrapassam oitenta mil reais e que sejam de natureza divisível, poderá haver reserva de cota de até 25% para a contratação de microempresas e empresas de pequeno porte, nos termos do art. 28, </w:t>
      </w:r>
      <w:r w:rsidRPr="00983F71">
        <w:rPr>
          <w:rFonts w:ascii="Arial" w:eastAsia="Calibri" w:hAnsi="Arial" w:cs="Arial"/>
          <w:bCs/>
          <w:i/>
          <w:iCs/>
          <w:sz w:val="20"/>
          <w:szCs w:val="20"/>
        </w:rPr>
        <w:t>caput</w:t>
      </w:r>
      <w:r w:rsidRPr="00983F71">
        <w:rPr>
          <w:rFonts w:ascii="Arial" w:eastAsia="Calibri" w:hAnsi="Arial" w:cs="Arial"/>
          <w:bCs/>
          <w:sz w:val="20"/>
          <w:szCs w:val="20"/>
        </w:rPr>
        <w:t>, da Lei Complementar estadual n. 197/14.</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sz w:val="20"/>
          <w:szCs w:val="20"/>
        </w:rPr>
        <w:lastRenderedPageBreak/>
        <w:t xml:space="preserve">Contudo, deve ser observado que de acordo com o artigo 49,I e II, da LC n. 123/2006, reproduzido no </w:t>
      </w:r>
      <w:r w:rsidRPr="00983F71">
        <w:rPr>
          <w:rFonts w:ascii="Arial" w:eastAsia="Calibri" w:hAnsi="Arial" w:cs="Arial"/>
          <w:i/>
          <w:iCs/>
          <w:sz w:val="20"/>
          <w:szCs w:val="20"/>
        </w:rPr>
        <w:t>caput</w:t>
      </w:r>
      <w:r w:rsidRPr="00983F71">
        <w:rPr>
          <w:rFonts w:ascii="Arial" w:eastAsia="Calibri" w:hAnsi="Arial" w:cs="Arial"/>
          <w:sz w:val="20"/>
          <w:szCs w:val="20"/>
        </w:rPr>
        <w:t xml:space="preserve"> e no § 2º do art. 28 da LC estadual nº 197/14, as regras de tratamento diferenciado não se aplicam quando: (i) não houver um mínimo de 3 (três) fornecedores competitivos enquadrados como microempresas ou empresas de pequeno porte sediados local ou regionalmente e capazes de cumprir as exigências estabelecidas no instrumento convocatório </w:t>
      </w:r>
      <w:r w:rsidRPr="00983F71">
        <w:rPr>
          <w:rFonts w:ascii="Arial" w:eastAsia="Calibri" w:hAnsi="Arial" w:cs="Arial"/>
          <w:b/>
          <w:bCs/>
          <w:sz w:val="20"/>
          <w:szCs w:val="20"/>
        </w:rPr>
        <w:t>ou</w:t>
      </w:r>
      <w:r w:rsidRPr="00983F71">
        <w:rPr>
          <w:rFonts w:ascii="Arial" w:eastAsia="Calibri" w:hAnsi="Arial" w:cs="Arial"/>
          <w:sz w:val="20"/>
          <w:szCs w:val="20"/>
        </w:rPr>
        <w:t xml:space="preserve"> (ii) não for vantajoso para a administração pública ou representar prejuízo ao conjunto ou complexo do objeto a ser contratado.</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sz w:val="20"/>
          <w:szCs w:val="20"/>
        </w:rPr>
        <w:t xml:space="preserve">Assim, a participação de ME e EPP, nos casos do art. 48, I, da LC 123/2006 e do art. 28, </w:t>
      </w:r>
      <w:r w:rsidRPr="00983F71">
        <w:rPr>
          <w:rFonts w:ascii="Arial" w:eastAsia="Calibri" w:hAnsi="Arial" w:cs="Arial"/>
          <w:i/>
          <w:iCs/>
          <w:sz w:val="20"/>
          <w:szCs w:val="20"/>
        </w:rPr>
        <w:t>caput</w:t>
      </w:r>
      <w:r w:rsidRPr="00983F71">
        <w:rPr>
          <w:rFonts w:ascii="Arial" w:eastAsia="Calibri" w:hAnsi="Arial" w:cs="Arial"/>
          <w:sz w:val="20"/>
          <w:szCs w:val="20"/>
        </w:rPr>
        <w:t>, da LC estadual 197/14, deve ser justificada com a demonstração da não incidência das hipóteses previstas no art. 49 da LC 123/2006.</w:t>
      </w:r>
    </w:p>
    <w:p w:rsidR="00983F71" w:rsidRPr="00983F71" w:rsidRDefault="00983F71" w:rsidP="00983F71">
      <w:pPr>
        <w:spacing w:after="0" w:line="240" w:lineRule="auto"/>
        <w:jc w:val="both"/>
        <w:rPr>
          <w:rFonts w:ascii="Arial" w:eastAsia="Calibri" w:hAnsi="Arial" w:cs="Arial"/>
          <w:b/>
          <w:bCs/>
          <w:sz w:val="20"/>
          <w:szCs w:val="20"/>
        </w:rPr>
      </w:pPr>
    </w:p>
    <w:p w:rsidR="00983F71" w:rsidRPr="00983F71" w:rsidRDefault="00983F71" w:rsidP="00983F71">
      <w:pPr>
        <w:spacing w:after="0" w:line="240" w:lineRule="auto"/>
        <w:jc w:val="both"/>
        <w:rPr>
          <w:rFonts w:ascii="Arial" w:eastAsia="Arial" w:hAnsi="Arial" w:cs="Arial"/>
          <w:color w:val="FF0000"/>
          <w:sz w:val="20"/>
          <w:szCs w:val="20"/>
          <w:lang w:eastAsia="pt-BR"/>
        </w:rPr>
      </w:pPr>
      <w:r w:rsidRPr="00983F71">
        <w:rPr>
          <w:rFonts w:ascii="Arial" w:eastAsia="Arial" w:hAnsi="Arial" w:cs="Arial"/>
          <w:color w:val="FF0000"/>
          <w:sz w:val="20"/>
          <w:szCs w:val="20"/>
          <w:highlight w:val="yellow"/>
          <w:lang w:eastAsia="pt-BR"/>
        </w:rPr>
        <w:t>OU</w:t>
      </w:r>
    </w:p>
    <w:p w:rsidR="00983F71" w:rsidRPr="00983F71" w:rsidRDefault="00983F71" w:rsidP="00983F71">
      <w:pPr>
        <w:spacing w:after="0" w:line="240" w:lineRule="auto"/>
        <w:jc w:val="both"/>
        <w:rPr>
          <w:rFonts w:ascii="Arial" w:eastAsia="Arial" w:hAnsi="Arial" w:cs="Arial"/>
          <w:color w:val="000000" w:themeColor="text1"/>
          <w:sz w:val="20"/>
          <w:szCs w:val="20"/>
          <w:lang w:eastAsia="pt-BR"/>
        </w:rPr>
      </w:pPr>
    </w:p>
    <w:p w:rsidR="00983F71" w:rsidRPr="00983F71" w:rsidRDefault="00983F71" w:rsidP="00983F71">
      <w:pPr>
        <w:spacing w:after="0" w:line="240" w:lineRule="auto"/>
        <w:jc w:val="both"/>
        <w:rPr>
          <w:rFonts w:ascii="Arial" w:eastAsia="Arial" w:hAnsi="Arial" w:cs="Arial"/>
          <w:color w:val="FF0000"/>
          <w:sz w:val="20"/>
          <w:szCs w:val="20"/>
          <w:lang w:eastAsia="pt-BR"/>
        </w:rPr>
      </w:pPr>
      <w:r w:rsidRPr="00983F71">
        <w:rPr>
          <w:rFonts w:ascii="Arial" w:eastAsia="Arial" w:hAnsi="Arial" w:cs="Arial"/>
          <w:b/>
          <w:bCs/>
          <w:color w:val="FF0000"/>
          <w:sz w:val="20"/>
          <w:szCs w:val="20"/>
          <w:lang w:eastAsia="pt-BR"/>
        </w:rPr>
        <w:t xml:space="preserve">7.1. </w:t>
      </w:r>
      <w:r w:rsidRPr="00983F71">
        <w:rPr>
          <w:rFonts w:ascii="Arial" w:eastAsia="Arial" w:hAnsi="Arial" w:cs="Arial"/>
          <w:color w:val="FF0000"/>
          <w:sz w:val="20"/>
          <w:szCs w:val="20"/>
          <w:lang w:eastAsia="pt-BR"/>
        </w:rPr>
        <w:t>As regras de tratamento diferenciado para as microempresas e empresas de pequeno porte previstos no art. 48 da LC n. 123/2006 não serão adotadas nesta licitação, pela seguinte razão: (...)</w:t>
      </w:r>
    </w:p>
    <w:p w:rsidR="00983F71" w:rsidRPr="00983F71" w:rsidRDefault="00983F71" w:rsidP="00983F71">
      <w:pPr>
        <w:spacing w:after="0" w:line="240" w:lineRule="auto"/>
        <w:jc w:val="both"/>
        <w:rPr>
          <w:rFonts w:ascii="Arial" w:eastAsia="Arial" w:hAnsi="Arial" w:cs="Arial"/>
          <w:color w:val="000000" w:themeColor="text1"/>
          <w:sz w:val="20"/>
          <w:szCs w:val="20"/>
          <w:lang w:eastAsia="pt-BR"/>
        </w:rPr>
      </w:pP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983F71">
        <w:rPr>
          <w:rFonts w:ascii="Arial" w:eastAsia="Times New Roman" w:hAnsi="Arial" w:cs="Arial"/>
          <w:b/>
          <w:bCs/>
          <w:sz w:val="20"/>
          <w:szCs w:val="20"/>
          <w:lang w:eastAsia="pt-BR"/>
        </w:rPr>
        <w:t>Orientações práticas:</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983F71">
        <w:rPr>
          <w:rFonts w:ascii="Arial" w:eastAsia="Times New Roman" w:hAnsi="Arial" w:cs="Arial"/>
          <w:sz w:val="20"/>
          <w:szCs w:val="20"/>
          <w:lang w:eastAsia="pt-BR"/>
        </w:rPr>
        <w:t xml:space="preserve">De acordo com o art. 49 da LC federal n. 123/2006, não se aplica o tratamento diferenciado para ME/EPP de que trata o art. 48 quando: a) </w:t>
      </w:r>
      <w:r w:rsidRPr="00983F71">
        <w:rPr>
          <w:rFonts w:ascii="Arial" w:eastAsia="Times New Roman" w:hAnsi="Arial" w:cs="Arial"/>
          <w:i/>
          <w:iCs/>
          <w:sz w:val="20"/>
          <w:szCs w:val="20"/>
          <w:lang w:eastAsia="pt-BR"/>
        </w:rPr>
        <w:t>“não houver um mínimo de 3 (três) fornecedores competitivos enquadrados como microempresas ou empresas de pequeno porte sediados local ou regionalmente e capazes de cumprir as exigências estabelecidas no instrumento convocatório</w:t>
      </w:r>
      <w:r w:rsidRPr="00983F71">
        <w:rPr>
          <w:rFonts w:ascii="Arial" w:eastAsia="Times New Roman" w:hAnsi="Arial" w:cs="Arial"/>
          <w:sz w:val="20"/>
          <w:szCs w:val="20"/>
          <w:lang w:eastAsia="pt-BR"/>
        </w:rPr>
        <w:t>”; b) “</w:t>
      </w:r>
      <w:r w:rsidRPr="00983F71">
        <w:rPr>
          <w:rFonts w:ascii="Arial" w:eastAsia="Times New Roman" w:hAnsi="Arial" w:cs="Arial"/>
          <w:i/>
          <w:iCs/>
          <w:sz w:val="20"/>
          <w:szCs w:val="20"/>
          <w:lang w:eastAsia="pt-BR"/>
        </w:rPr>
        <w:t>o tratamento diferenciado e simplificado para as microempresas e empresas de pequeno porte não for vantajoso para a administração pública ou representar prejuízo ao conjunto ou complexo do objeto a ser contratado”</w:t>
      </w:r>
      <w:r w:rsidRPr="00983F71">
        <w:rPr>
          <w:rFonts w:ascii="Arial" w:eastAsia="Times New Roman" w:hAnsi="Arial" w:cs="Arial"/>
          <w:sz w:val="20"/>
          <w:szCs w:val="20"/>
          <w:lang w:eastAsia="pt-BR"/>
        </w:rPr>
        <w:t>;</w:t>
      </w:r>
    </w:p>
    <w:p w:rsidR="00983F71" w:rsidRPr="00983F71" w:rsidRDefault="00983F71" w:rsidP="00983F7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983F71">
        <w:rPr>
          <w:rFonts w:ascii="Arial" w:eastAsia="Times New Roman" w:hAnsi="Arial" w:cs="Arial"/>
          <w:sz w:val="20"/>
          <w:szCs w:val="20"/>
          <w:lang w:eastAsia="pt-BR"/>
        </w:rPr>
        <w:t>Qualquer seja a hipótese de não aplicação do tratamento diferenciado deverá ser devidamente justificada.</w:t>
      </w:r>
    </w:p>
    <w:p w:rsidR="00983F71" w:rsidRPr="00983F71" w:rsidRDefault="00983F71" w:rsidP="00983F71">
      <w:pPr>
        <w:spacing w:after="0" w:line="240" w:lineRule="auto"/>
        <w:jc w:val="both"/>
        <w:rPr>
          <w:rFonts w:ascii="Arial" w:eastAsia="Times New Roman" w:hAnsi="Arial" w:cs="Arial"/>
          <w:color w:val="FF0000"/>
          <w:sz w:val="20"/>
          <w:szCs w:val="20"/>
          <w:lang w:eastAsia="pt-BR"/>
        </w:rPr>
      </w:pPr>
    </w:p>
    <w:p w:rsidR="00983F71" w:rsidRPr="00983F71" w:rsidRDefault="00983F71" w:rsidP="00983F71">
      <w:pPr>
        <w:spacing w:after="0" w:line="240" w:lineRule="auto"/>
        <w:jc w:val="both"/>
        <w:rPr>
          <w:rFonts w:ascii="Arial" w:eastAsia="Times New Roman" w:hAnsi="Arial" w:cs="Arial"/>
          <w:color w:val="FF0000"/>
          <w:sz w:val="20"/>
          <w:szCs w:val="20"/>
          <w:lang w:eastAsia="pt-BR"/>
        </w:rPr>
      </w:pPr>
    </w:p>
    <w:p w:rsidR="00983F71" w:rsidRPr="00983F71" w:rsidRDefault="00983F71" w:rsidP="00983F71">
      <w:pPr>
        <w:spacing w:after="0" w:line="240" w:lineRule="auto"/>
        <w:jc w:val="both"/>
        <w:rPr>
          <w:rFonts w:ascii="Arial" w:eastAsia="Calibri" w:hAnsi="Arial" w:cs="Arial"/>
          <w:sz w:val="20"/>
          <w:szCs w:val="20"/>
        </w:rPr>
      </w:pPr>
      <w:r w:rsidRPr="00983F71">
        <w:rPr>
          <w:rFonts w:ascii="Arial" w:eastAsia="Calibri" w:hAnsi="Arial" w:cs="Arial"/>
          <w:b/>
          <w:bCs/>
          <w:sz w:val="20"/>
          <w:szCs w:val="20"/>
        </w:rPr>
        <w:t>8.</w:t>
      </w:r>
      <w:r w:rsidRPr="00983F71">
        <w:rPr>
          <w:rFonts w:ascii="Arial" w:eastAsia="Calibri" w:hAnsi="Arial" w:cs="Arial"/>
          <w:sz w:val="20"/>
          <w:szCs w:val="20"/>
        </w:rPr>
        <w:t xml:space="preserve"> </w:t>
      </w:r>
      <w:r w:rsidRPr="00983F71">
        <w:rPr>
          <w:rFonts w:ascii="Arial" w:eastAsia="Calibri" w:hAnsi="Arial" w:cs="Arial"/>
          <w:b/>
          <w:bCs/>
          <w:sz w:val="20"/>
          <w:szCs w:val="20"/>
        </w:rPr>
        <w:t>MODELO DE GESTÃO DO CONTRATO</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b/>
          <w:sz w:val="20"/>
          <w:szCs w:val="20"/>
        </w:rPr>
        <w:t>Orientações práticas:</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Cs/>
          <w:sz w:val="20"/>
          <w:szCs w:val="20"/>
        </w:rPr>
      </w:pPr>
      <w:r w:rsidRPr="00983F71">
        <w:rPr>
          <w:rFonts w:ascii="Arial" w:eastAsia="Calibri" w:hAnsi="Arial" w:cs="Arial"/>
          <w:bCs/>
          <w:sz w:val="20"/>
          <w:szCs w:val="20"/>
        </w:rPr>
        <w:t>O art. 10, IV, do Decreto n. 15.524/20 exige que o termo de referência defina o modelo de gestão do contrato, com a descrição dos procedimentos de execução do objeto e fiscalização e gerenciamento do contrato ou da ata de registro de preços pelo órgão requisitante.</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Cs/>
          <w:sz w:val="20"/>
          <w:szCs w:val="20"/>
        </w:rPr>
      </w:pPr>
      <w:r w:rsidRPr="00983F71">
        <w:rPr>
          <w:rFonts w:ascii="Arial" w:eastAsia="Calibri" w:hAnsi="Arial" w:cs="Arial"/>
          <w:bCs/>
          <w:sz w:val="20"/>
          <w:szCs w:val="20"/>
        </w:rPr>
        <w:t>Portanto, nessa oportunidade, deverão ser definidas as atribuições do fiscal/comissão de fiscalização do contrato e do gestor/comissão de gestão do contrato, de acordo com as regras estabelecidas pelo Decreto Estadual nº 15.530, de 8 de outubro de 2020.</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sz w:val="20"/>
          <w:szCs w:val="20"/>
        </w:rPr>
      </w:pPr>
      <w:r w:rsidRPr="00983F71">
        <w:rPr>
          <w:rFonts w:ascii="Arial" w:eastAsia="Calibri" w:hAnsi="Arial" w:cs="Arial"/>
          <w:sz w:val="20"/>
          <w:szCs w:val="20"/>
        </w:rPr>
        <w:t>Alerta-se que no momento da elaboração deste tópico, deve-se atentar para a necessidade de harmonização com a disciplina de recebimento e pagamento.</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Times New Roman" w:hAnsi="Arial" w:cs="Arial"/>
          <w:color w:val="000000"/>
          <w:sz w:val="20"/>
          <w:szCs w:val="24"/>
          <w:lang w:eastAsia="pt-BR"/>
        </w:rPr>
      </w:pPr>
      <w:r w:rsidRPr="00983F71">
        <w:rPr>
          <w:rFonts w:ascii="Arial" w:eastAsia="Times New Roman" w:hAnsi="Arial" w:cs="Arial"/>
          <w:b/>
          <w:color w:val="000000"/>
          <w:sz w:val="20"/>
          <w:szCs w:val="24"/>
          <w:lang w:eastAsia="pt-BR"/>
        </w:rPr>
        <w:t>8.1.</w:t>
      </w:r>
      <w:r w:rsidRPr="00983F71">
        <w:rPr>
          <w:rFonts w:ascii="Arial" w:eastAsia="Times New Roman" w:hAnsi="Arial" w:cs="Arial"/>
          <w:color w:val="000000"/>
          <w:sz w:val="20"/>
          <w:szCs w:val="24"/>
          <w:lang w:eastAsia="pt-BR"/>
        </w:rPr>
        <w:t xml:space="preserve"> Deverão ser designados servidores ou comissões responsáveis pela gestão do contrato e pelo acompanhamento e fiscalização da prestação do serviço, observado o disposto no Decreto n. 15.530, de 8 de outubro de 2020.</w:t>
      </w:r>
    </w:p>
    <w:p w:rsidR="00983F71" w:rsidRPr="00983F71" w:rsidRDefault="00983F71" w:rsidP="00983F71">
      <w:pPr>
        <w:spacing w:after="0" w:line="240" w:lineRule="auto"/>
        <w:jc w:val="both"/>
        <w:rPr>
          <w:rFonts w:ascii="Arial" w:eastAsia="Times New Roman" w:hAnsi="Arial" w:cs="Arial"/>
          <w:color w:val="000000"/>
          <w:sz w:val="20"/>
          <w:szCs w:val="24"/>
          <w:lang w:eastAsia="pt-BR"/>
        </w:rPr>
      </w:pP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r w:rsidRPr="00983F71">
        <w:rPr>
          <w:rFonts w:ascii="Arial" w:eastAsia="Times New Roman" w:hAnsi="Arial" w:cs="Arial"/>
          <w:b/>
          <w:color w:val="000000"/>
          <w:sz w:val="20"/>
          <w:szCs w:val="24"/>
          <w:lang w:eastAsia="pt-BR"/>
        </w:rPr>
        <w:t>8.1.1.</w:t>
      </w:r>
      <w:r w:rsidRPr="00983F71">
        <w:rPr>
          <w:rFonts w:ascii="Arial" w:eastAsia="Times New Roman" w:hAnsi="Arial" w:cs="Arial"/>
          <w:bCs/>
          <w:color w:val="000000"/>
          <w:sz w:val="20"/>
          <w:szCs w:val="24"/>
          <w:lang w:eastAsia="pt-BR"/>
        </w:rPr>
        <w:t xml:space="preserve"> As atividades de gestão e fiscalização da execução contratual devem ser realizadas de forma preventiva, rotineira e sistemática.</w:t>
      </w:r>
    </w:p>
    <w:p w:rsidR="00983F71" w:rsidRPr="00983F71" w:rsidRDefault="00983F71" w:rsidP="00983F71">
      <w:pPr>
        <w:spacing w:after="0" w:line="240" w:lineRule="auto"/>
        <w:jc w:val="both"/>
        <w:rPr>
          <w:rFonts w:ascii="Arial" w:eastAsia="Times New Roman" w:hAnsi="Arial" w:cs="Arial"/>
          <w:color w:val="000000"/>
          <w:sz w:val="20"/>
          <w:szCs w:val="24"/>
          <w:lang w:eastAsia="pt-BR"/>
        </w:rPr>
      </w:pPr>
    </w:p>
    <w:p w:rsidR="00983F71" w:rsidRPr="00983F71" w:rsidRDefault="00983F71" w:rsidP="00983F71">
      <w:pPr>
        <w:spacing w:after="0" w:line="240" w:lineRule="auto"/>
        <w:jc w:val="both"/>
        <w:rPr>
          <w:rFonts w:ascii="Arial" w:eastAsia="Times New Roman" w:hAnsi="Arial" w:cs="Arial"/>
          <w:color w:val="000000"/>
          <w:sz w:val="20"/>
          <w:szCs w:val="24"/>
          <w:lang w:eastAsia="pt-BR"/>
        </w:rPr>
      </w:pPr>
      <w:r w:rsidRPr="00983F71">
        <w:rPr>
          <w:rFonts w:ascii="Arial" w:eastAsia="Times New Roman" w:hAnsi="Arial" w:cs="Arial"/>
          <w:b/>
          <w:color w:val="000000"/>
          <w:sz w:val="20"/>
          <w:szCs w:val="24"/>
          <w:lang w:eastAsia="pt-BR"/>
        </w:rPr>
        <w:t xml:space="preserve">8.2. </w:t>
      </w:r>
      <w:r w:rsidRPr="00983F71">
        <w:rPr>
          <w:rFonts w:ascii="Arial" w:eastAsia="Times New Roman" w:hAnsi="Arial" w:cs="Arial"/>
          <w:color w:val="000000"/>
          <w:sz w:val="20"/>
          <w:szCs w:val="24"/>
          <w:lang w:eastAsia="pt-BR"/>
        </w:rPr>
        <w:t>Os servidores ou comissões designadas para a gestão e fiscalização do contrato deverão ter a qualificação necessária para o acompanhamento e controle da execução dos serviços e do contrato.</w:t>
      </w:r>
    </w:p>
    <w:p w:rsidR="00983F71" w:rsidRPr="00983F71" w:rsidRDefault="00983F71" w:rsidP="00983F71">
      <w:pPr>
        <w:spacing w:after="0" w:line="240" w:lineRule="auto"/>
        <w:jc w:val="both"/>
        <w:rPr>
          <w:rFonts w:ascii="Arial" w:eastAsia="Times New Roman" w:hAnsi="Arial" w:cs="Arial"/>
          <w:color w:val="000000"/>
          <w:sz w:val="20"/>
          <w:szCs w:val="24"/>
          <w:lang w:eastAsia="pt-BR"/>
        </w:rPr>
      </w:pP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r w:rsidRPr="00983F71">
        <w:rPr>
          <w:rFonts w:ascii="Arial" w:eastAsia="Times New Roman" w:hAnsi="Arial" w:cs="Arial"/>
          <w:b/>
          <w:color w:val="000000"/>
          <w:sz w:val="20"/>
          <w:szCs w:val="24"/>
          <w:lang w:eastAsia="pt-BR"/>
        </w:rPr>
        <w:lastRenderedPageBreak/>
        <w:t xml:space="preserve">8.3. </w:t>
      </w:r>
      <w:r w:rsidRPr="00983F71">
        <w:rPr>
          <w:rFonts w:ascii="Arial" w:eastAsia="Times New Roman" w:hAnsi="Arial" w:cs="Arial"/>
          <w:bCs/>
          <w:color w:val="000000"/>
          <w:sz w:val="20"/>
          <w:szCs w:val="24"/>
          <w:lang w:eastAsia="pt-BR"/>
        </w:rPr>
        <w:t>A verificação da adequação da prestação do serviço deverá ser realizada com base nos critérios previstos neste Termo de Referência, sem prejuízo do dever de observância às atribuições definidas no Decreto n. 15.530/2020.</w:t>
      </w: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r w:rsidRPr="00983F71">
        <w:rPr>
          <w:rFonts w:ascii="Arial" w:eastAsia="Times New Roman" w:hAnsi="Arial" w:cs="Arial"/>
          <w:b/>
          <w:color w:val="000000"/>
          <w:sz w:val="20"/>
          <w:szCs w:val="24"/>
          <w:lang w:eastAsia="pt-BR"/>
        </w:rPr>
        <w:t>8.4.</w:t>
      </w:r>
      <w:r w:rsidRPr="00983F71">
        <w:rPr>
          <w:rFonts w:ascii="Arial" w:eastAsia="Times New Roman" w:hAnsi="Arial" w:cs="Arial"/>
          <w:bCs/>
          <w:color w:val="000000"/>
          <w:sz w:val="20"/>
          <w:szCs w:val="24"/>
          <w:lang w:eastAsia="pt-BR"/>
        </w:rPr>
        <w:t xml:space="preserve"> A conformidade do material/técnica/equipamento a ser utilizado na execução dos serviços deverá ser verificada juntamente com o documento da contratada que contenha a relação detalhada dos mesmos, de acordo com o estabelecido neste Termo de Referência, informando as respectivas quantidades e especificações técnicas, tais como: marca, qualidade e forma de uso.</w:t>
      </w: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r w:rsidRPr="00983F71">
        <w:rPr>
          <w:rFonts w:ascii="Arial" w:eastAsia="Times New Roman" w:hAnsi="Arial" w:cs="Arial"/>
          <w:b/>
          <w:color w:val="000000"/>
          <w:sz w:val="20"/>
          <w:szCs w:val="24"/>
          <w:lang w:eastAsia="pt-BR"/>
        </w:rPr>
        <w:t xml:space="preserve">8.5. </w:t>
      </w:r>
      <w:r w:rsidRPr="00983F71">
        <w:rPr>
          <w:rFonts w:ascii="Arial" w:eastAsia="Times New Roman" w:hAnsi="Arial" w:cs="Arial"/>
          <w:bCs/>
          <w:color w:val="000000"/>
          <w:sz w:val="20"/>
          <w:szCs w:val="24"/>
          <w:lang w:eastAsia="pt-BR"/>
        </w:rPr>
        <w:t>Durante a execução do objeto, o fiscal do contrato deverá monitorar constantemente o nível de qualidade dos serviços para evitar a sua degeneração, devendo intervir para requerer à contratada a correção das faltas, falhas e irregularidades constatadas.</w:t>
      </w:r>
    </w:p>
    <w:p w:rsidR="00983F71" w:rsidRPr="00983F71" w:rsidRDefault="00983F71" w:rsidP="00983F71">
      <w:pPr>
        <w:spacing w:after="0" w:line="240" w:lineRule="auto"/>
        <w:jc w:val="both"/>
        <w:rPr>
          <w:rFonts w:ascii="Arial" w:eastAsia="Times New Roman" w:hAnsi="Arial" w:cs="Arial"/>
          <w:b/>
          <w:color w:val="000000"/>
          <w:sz w:val="20"/>
          <w:szCs w:val="24"/>
          <w:lang w:eastAsia="pt-BR"/>
        </w:rPr>
      </w:pP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r w:rsidRPr="00983F71">
        <w:rPr>
          <w:rFonts w:ascii="Arial" w:eastAsia="Times New Roman" w:hAnsi="Arial" w:cs="Arial"/>
          <w:b/>
          <w:color w:val="000000"/>
          <w:sz w:val="20"/>
          <w:szCs w:val="24"/>
          <w:lang w:eastAsia="pt-BR"/>
        </w:rPr>
        <w:t>8.6.</w:t>
      </w:r>
      <w:r w:rsidRPr="00983F71">
        <w:rPr>
          <w:rFonts w:ascii="Arial" w:eastAsia="Times New Roman" w:hAnsi="Arial" w:cs="Arial"/>
          <w:bCs/>
          <w:color w:val="000000"/>
          <w:sz w:val="20"/>
          <w:szCs w:val="24"/>
          <w:lang w:eastAsia="pt-BR"/>
        </w:rPr>
        <w:t xml:space="preserve"> O fiscal do contrato deverá apresentar ao preposto da contratada a avaliação da execução do objeto ou, se for o caso, a avaliação de desempenho e qualidade da prestação dos serviços realizada.</w:t>
      </w: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r w:rsidRPr="00983F71">
        <w:rPr>
          <w:rFonts w:ascii="Arial" w:eastAsia="Times New Roman" w:hAnsi="Arial" w:cs="Arial"/>
          <w:b/>
          <w:color w:val="000000"/>
          <w:sz w:val="20"/>
          <w:szCs w:val="24"/>
          <w:lang w:eastAsia="pt-BR"/>
        </w:rPr>
        <w:t>8.7.</w:t>
      </w:r>
      <w:r w:rsidRPr="00983F71">
        <w:rPr>
          <w:rFonts w:ascii="Arial" w:eastAsia="Times New Roman" w:hAnsi="Arial" w:cs="Arial"/>
          <w:bCs/>
          <w:color w:val="000000"/>
          <w:sz w:val="20"/>
          <w:szCs w:val="24"/>
          <w:lang w:eastAsia="pt-BR"/>
        </w:rPr>
        <w:t xml:space="preserve"> Em hipótese alguma será admitido que a própria contratada materialize a avaliação de desempenho e qualidade da prestação dos serviços realizada.</w:t>
      </w: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r w:rsidRPr="00983F71">
        <w:rPr>
          <w:rFonts w:ascii="Arial" w:eastAsia="Times New Roman" w:hAnsi="Arial" w:cs="Arial"/>
          <w:b/>
          <w:color w:val="000000"/>
          <w:sz w:val="20"/>
          <w:szCs w:val="24"/>
          <w:lang w:eastAsia="pt-BR"/>
        </w:rPr>
        <w:t xml:space="preserve">8.8. </w:t>
      </w:r>
      <w:r w:rsidRPr="00983F71">
        <w:rPr>
          <w:rFonts w:ascii="Arial" w:eastAsia="Times New Roman" w:hAnsi="Arial" w:cs="Arial"/>
          <w:bCs/>
          <w:color w:val="000000"/>
          <w:sz w:val="20"/>
          <w:szCs w:val="24"/>
          <w:lang w:eastAsia="pt-BR"/>
        </w:rPr>
        <w:t>O fiscal do contrato poderá realizar avaliação diária, semanal ou mensal, desde que o período escolhido seja suficiente para avaliar ou, se for o caso, aferir o desempenho e qualidade da prestação dos serviços.</w:t>
      </w: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r w:rsidRPr="00983F71">
        <w:rPr>
          <w:rFonts w:ascii="Arial" w:eastAsia="Times New Roman" w:hAnsi="Arial" w:cs="Arial"/>
          <w:b/>
          <w:color w:val="000000"/>
          <w:sz w:val="20"/>
          <w:szCs w:val="24"/>
          <w:lang w:eastAsia="pt-BR"/>
        </w:rPr>
        <w:t xml:space="preserve">8.9. </w:t>
      </w:r>
      <w:r w:rsidRPr="00983F71">
        <w:rPr>
          <w:rFonts w:ascii="Arial" w:eastAsia="Times New Roman" w:hAnsi="Arial" w:cs="Arial"/>
          <w:bCs/>
          <w:color w:val="000000"/>
          <w:sz w:val="20"/>
          <w:szCs w:val="24"/>
          <w:lang w:eastAsia="pt-BR"/>
        </w:rPr>
        <w:t>O fiscal do contrato deverá promover o registro das ocorrências verificadas, adotando as providências necessárias ao fiel cumprimento das cláusulas contratuais, conforme o disposto nos §§ 1º e 2º do art. 67 da Lei nº 8.666/93.</w:t>
      </w:r>
    </w:p>
    <w:p w:rsidR="00983F71" w:rsidRPr="00983F71" w:rsidRDefault="00983F71" w:rsidP="00983F71">
      <w:pPr>
        <w:spacing w:after="0" w:line="240" w:lineRule="auto"/>
        <w:jc w:val="both"/>
        <w:rPr>
          <w:rFonts w:ascii="Arial" w:eastAsia="Times New Roman" w:hAnsi="Arial" w:cs="Arial"/>
          <w:b/>
          <w:color w:val="000000"/>
          <w:sz w:val="20"/>
          <w:szCs w:val="24"/>
          <w:lang w:eastAsia="pt-BR"/>
        </w:rPr>
      </w:pPr>
    </w:p>
    <w:p w:rsidR="00983F71" w:rsidRPr="00983F71" w:rsidRDefault="00983F71" w:rsidP="00983F71">
      <w:pPr>
        <w:spacing w:after="0" w:line="240" w:lineRule="auto"/>
        <w:jc w:val="both"/>
        <w:rPr>
          <w:rFonts w:ascii="Arial" w:eastAsia="Times New Roman" w:hAnsi="Arial" w:cs="Arial"/>
          <w:bCs/>
          <w:color w:val="000000"/>
          <w:sz w:val="20"/>
          <w:szCs w:val="24"/>
          <w:lang w:eastAsia="pt-BR"/>
        </w:rPr>
      </w:pPr>
      <w:r w:rsidRPr="00983F71">
        <w:rPr>
          <w:rFonts w:ascii="Arial" w:eastAsia="Times New Roman" w:hAnsi="Arial" w:cs="Arial"/>
          <w:b/>
          <w:color w:val="000000"/>
          <w:sz w:val="20"/>
          <w:szCs w:val="24"/>
          <w:lang w:eastAsia="pt-BR"/>
        </w:rPr>
        <w:t xml:space="preserve">8.10. </w:t>
      </w:r>
      <w:r w:rsidRPr="00983F71">
        <w:rPr>
          <w:rFonts w:ascii="Arial" w:eastAsia="Times New Roman" w:hAnsi="Arial" w:cs="Arial"/>
          <w:bCs/>
          <w:color w:val="000000"/>
          <w:sz w:val="20"/>
          <w:szCs w:val="24"/>
          <w:lang w:eastAsia="pt-BR"/>
        </w:rPr>
        <w:t>O descumprimento total ou parcial das obrigações e responsabilidades assumidas pela contratada ensejará a aplicação de sanções administrativas, previstas neste Termo de Referência, no edital e na legislação vigente, podendo culminar em rescisão contratual, conforme disposto nos artigos 77 e 87 da Lei nº 8.666/93.</w:t>
      </w:r>
    </w:p>
    <w:p w:rsidR="00983F71" w:rsidRPr="00983F71" w:rsidRDefault="00983F71" w:rsidP="00983F71">
      <w:pPr>
        <w:spacing w:after="0" w:line="240" w:lineRule="auto"/>
        <w:jc w:val="both"/>
        <w:rPr>
          <w:rFonts w:ascii="Arial" w:eastAsia="Times New Roman" w:hAnsi="Arial" w:cs="Arial"/>
          <w:b/>
          <w:color w:val="000000"/>
          <w:sz w:val="20"/>
          <w:szCs w:val="24"/>
          <w:lang w:eastAsia="pt-BR"/>
        </w:rPr>
      </w:pPr>
    </w:p>
    <w:p w:rsidR="00983F71" w:rsidRPr="00983F71" w:rsidRDefault="00983F71" w:rsidP="00983F71">
      <w:pPr>
        <w:spacing w:after="0" w:line="240" w:lineRule="auto"/>
        <w:jc w:val="both"/>
        <w:rPr>
          <w:rFonts w:ascii="Arial" w:eastAsia="Times New Roman" w:hAnsi="Arial" w:cs="Arial"/>
          <w:color w:val="000000"/>
          <w:sz w:val="20"/>
          <w:szCs w:val="24"/>
          <w:lang w:eastAsia="pt-BR"/>
        </w:rPr>
      </w:pPr>
      <w:r w:rsidRPr="00983F71">
        <w:rPr>
          <w:rFonts w:ascii="Arial" w:eastAsia="Times New Roman" w:hAnsi="Arial" w:cs="Arial"/>
          <w:b/>
          <w:color w:val="000000"/>
          <w:sz w:val="20"/>
          <w:szCs w:val="24"/>
          <w:lang w:eastAsia="pt-BR"/>
        </w:rPr>
        <w:t>8.11.</w:t>
      </w:r>
      <w:r w:rsidRPr="00983F71">
        <w:rPr>
          <w:rFonts w:ascii="Arial" w:eastAsia="Times New Roman" w:hAnsi="Arial" w:cs="Arial"/>
          <w:color w:val="000000"/>
          <w:sz w:val="20"/>
          <w:szCs w:val="24"/>
          <w:lang w:eastAsia="pt-BR"/>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8.666/93.</w:t>
      </w:r>
    </w:p>
    <w:p w:rsidR="00983F71" w:rsidRPr="00983F71" w:rsidRDefault="00983F71" w:rsidP="00983F71">
      <w:pPr>
        <w:spacing w:after="0" w:line="240" w:lineRule="auto"/>
        <w:jc w:val="both"/>
        <w:rPr>
          <w:rFonts w:ascii="Arial" w:eastAsia="Times New Roman" w:hAnsi="Arial" w:cs="Arial"/>
          <w:color w:val="000000"/>
          <w:sz w:val="20"/>
          <w:szCs w:val="24"/>
          <w:lang w:eastAsia="pt-BR"/>
        </w:rPr>
      </w:pPr>
    </w:p>
    <w:p w:rsidR="00983F71" w:rsidRPr="00983F71" w:rsidRDefault="00983F71" w:rsidP="00983F71">
      <w:pPr>
        <w:spacing w:after="0" w:line="240" w:lineRule="auto"/>
        <w:jc w:val="both"/>
        <w:rPr>
          <w:rFonts w:ascii="Arial" w:eastAsia="Times New Roman" w:hAnsi="Arial" w:cs="Arial"/>
          <w:sz w:val="20"/>
          <w:szCs w:val="24"/>
          <w:lang w:eastAsia="pt-BR"/>
        </w:rPr>
      </w:pPr>
      <w:r w:rsidRPr="00983F71">
        <w:rPr>
          <w:rFonts w:ascii="Arial" w:eastAsia="Times New Roman" w:hAnsi="Arial" w:cs="Arial"/>
          <w:b/>
          <w:color w:val="000000"/>
          <w:sz w:val="20"/>
          <w:szCs w:val="24"/>
          <w:lang w:eastAsia="pt-BR"/>
        </w:rPr>
        <w:t>8.12.</w:t>
      </w:r>
      <w:r w:rsidRPr="00983F71">
        <w:rPr>
          <w:rFonts w:ascii="Arial" w:eastAsia="Times New Roman" w:hAnsi="Arial" w:cs="Arial"/>
          <w:color w:val="000000"/>
          <w:sz w:val="20"/>
          <w:szCs w:val="24"/>
          <w:lang w:eastAsia="pt-BR"/>
        </w:rPr>
        <w:t xml:space="preserve"> Os servidores ou comissões designadas para a gestão e fiscalização do contrato anotarão em registro próprio todas as ocorrências relacionadas com a execução deste, indicando dia, mês e ano, bem como o nome dos funcionários eventualmente envolvidos, determinando o que for necessário à regularização das falhas ou defeitos observados e encaminhando os apontamentos </w:t>
      </w:r>
      <w:r w:rsidRPr="00983F71">
        <w:rPr>
          <w:rFonts w:ascii="Arial" w:eastAsia="Times New Roman" w:hAnsi="Arial" w:cs="Arial"/>
          <w:sz w:val="20"/>
          <w:szCs w:val="24"/>
          <w:lang w:eastAsia="pt-BR"/>
        </w:rPr>
        <w:t>à autoridade competente para as providências cabíveis.</w:t>
      </w: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spacing w:after="0" w:line="240" w:lineRule="auto"/>
        <w:jc w:val="both"/>
        <w:rPr>
          <w:rFonts w:ascii="Arial" w:eastAsia="Times New Roman" w:hAnsi="Arial" w:cs="Arial"/>
          <w:sz w:val="20"/>
          <w:szCs w:val="24"/>
          <w:lang w:eastAsia="pt-BR"/>
        </w:rPr>
      </w:pPr>
      <w:r w:rsidRPr="00983F71">
        <w:rPr>
          <w:rFonts w:ascii="Arial" w:eastAsia="Times New Roman" w:hAnsi="Arial" w:cs="Arial"/>
          <w:b/>
          <w:sz w:val="20"/>
          <w:szCs w:val="24"/>
          <w:lang w:eastAsia="pt-BR"/>
        </w:rPr>
        <w:t>8.13</w:t>
      </w:r>
      <w:r w:rsidRPr="00983F71">
        <w:rPr>
          <w:rFonts w:ascii="Arial" w:eastAsia="Times New Roman" w:hAnsi="Arial" w:cs="Arial"/>
          <w:b/>
          <w:bCs/>
          <w:sz w:val="20"/>
          <w:szCs w:val="24"/>
          <w:lang w:eastAsia="pt-BR"/>
        </w:rPr>
        <w:t>.</w:t>
      </w:r>
      <w:r w:rsidRPr="00983F71">
        <w:rPr>
          <w:rFonts w:ascii="Arial" w:eastAsia="Times New Roman" w:hAnsi="Arial" w:cs="Arial"/>
          <w:sz w:val="20"/>
          <w:szCs w:val="24"/>
          <w:lang w:eastAsia="pt-BR"/>
        </w:rPr>
        <w:t xml:space="preserve"> A contratada permitirá e oferecerá condições para a mais ampla e completa fiscalização, durante a vigência do contrato, fornecendo informações, propiciando o acesso à documentação pertinente e atendendo às observações e exigências apresentadas pela fiscalização.</w:t>
      </w: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spacing w:after="0" w:line="240" w:lineRule="auto"/>
        <w:jc w:val="both"/>
        <w:rPr>
          <w:rFonts w:ascii="Arial" w:eastAsia="Times New Roman" w:hAnsi="Arial" w:cs="Arial"/>
          <w:sz w:val="20"/>
          <w:szCs w:val="24"/>
          <w:lang w:eastAsia="pt-BR"/>
        </w:rPr>
      </w:pPr>
      <w:r w:rsidRPr="00983F71">
        <w:rPr>
          <w:rFonts w:ascii="Arial" w:eastAsia="Times New Roman" w:hAnsi="Arial" w:cs="Arial"/>
          <w:b/>
          <w:sz w:val="20"/>
          <w:szCs w:val="24"/>
          <w:lang w:eastAsia="pt-BR"/>
        </w:rPr>
        <w:t>8.14.</w:t>
      </w:r>
      <w:r w:rsidRPr="00983F71">
        <w:rPr>
          <w:rFonts w:ascii="Arial" w:eastAsia="Times New Roman" w:hAnsi="Arial" w:cs="Arial"/>
          <w:sz w:val="20"/>
          <w:szCs w:val="24"/>
          <w:lang w:eastAsia="pt-BR"/>
        </w:rPr>
        <w:t xml:space="preserve"> A contratada se obriga a permitir que a auditoria interna da contratante e/ou auditoria externa por ela indicada tenha acesso a todos os documentos que digam respeito ao contrato.</w:t>
      </w: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8.15.</w:t>
      </w:r>
      <w:r w:rsidRPr="00983F71">
        <w:rPr>
          <w:rFonts w:ascii="Arial" w:eastAsia="Times New Roman" w:hAnsi="Arial" w:cs="Arial"/>
          <w:color w:val="FF0000"/>
          <w:sz w:val="20"/>
          <w:szCs w:val="24"/>
          <w:lang w:eastAsia="pt-BR"/>
        </w:rPr>
        <w:t xml:space="preserve"> A aferição/medição do serviço para efeito de pagamento com base no resultado seguirá o seguinte procedimento:</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 xml:space="preserve">8.15.1. </w:t>
      </w:r>
      <w:r w:rsidRPr="00983F71">
        <w:rPr>
          <w:rFonts w:ascii="Arial" w:eastAsia="Times New Roman" w:hAnsi="Arial" w:cs="Arial"/>
          <w:color w:val="FF0000"/>
          <w:sz w:val="20"/>
          <w:szCs w:val="24"/>
          <w:highlight w:val="yellow"/>
          <w:lang w:eastAsia="pt-BR"/>
        </w:rPr>
        <w:t>.....</w:t>
      </w:r>
      <w:r w:rsidRPr="00983F71">
        <w:rPr>
          <w:rFonts w:ascii="Arial" w:eastAsia="Times New Roman" w:hAnsi="Arial" w:cs="Arial"/>
          <w:color w:val="FF0000"/>
          <w:sz w:val="20"/>
          <w:szCs w:val="24"/>
          <w:lang w:eastAsia="pt-BR"/>
        </w:rPr>
        <w:t xml:space="preserve">    </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b/>
          <w:bCs/>
          <w:color w:val="FF0000"/>
          <w:sz w:val="20"/>
          <w:szCs w:val="24"/>
          <w:lang w:eastAsia="pt-BR"/>
        </w:rPr>
      </w:pPr>
      <w:r w:rsidRPr="00983F71">
        <w:rPr>
          <w:rFonts w:ascii="Arial" w:eastAsia="Times New Roman" w:hAnsi="Arial" w:cs="Arial"/>
          <w:b/>
          <w:bCs/>
          <w:color w:val="FF0000"/>
          <w:sz w:val="20"/>
          <w:szCs w:val="24"/>
          <w:lang w:eastAsia="pt-BR"/>
        </w:rPr>
        <w:t xml:space="preserve">8.15.2. </w:t>
      </w:r>
      <w:r w:rsidRPr="00983F71">
        <w:rPr>
          <w:rFonts w:ascii="Arial" w:eastAsia="Times New Roman" w:hAnsi="Arial" w:cs="Arial"/>
          <w:color w:val="FF0000"/>
          <w:sz w:val="20"/>
          <w:szCs w:val="24"/>
          <w:highlight w:val="yellow"/>
          <w:lang w:eastAsia="pt-BR"/>
        </w:rPr>
        <w:t>.....</w:t>
      </w:r>
      <w:r w:rsidRPr="00983F71">
        <w:rPr>
          <w:rFonts w:ascii="Arial" w:eastAsia="Times New Roman" w:hAnsi="Arial" w:cs="Arial"/>
          <w:color w:val="FF0000"/>
          <w:sz w:val="20"/>
          <w:szCs w:val="24"/>
          <w:lang w:eastAsia="pt-BR"/>
        </w:rPr>
        <w:t xml:space="preserve"> </w:t>
      </w:r>
      <w:r w:rsidRPr="00983F71">
        <w:rPr>
          <w:rFonts w:ascii="Arial" w:eastAsia="Times New Roman" w:hAnsi="Arial" w:cs="Arial"/>
          <w:b/>
          <w:bCs/>
          <w:color w:val="FF0000"/>
          <w:sz w:val="20"/>
          <w:szCs w:val="24"/>
          <w:lang w:eastAsia="pt-BR"/>
        </w:rPr>
        <w:t xml:space="preserve">     </w:t>
      </w:r>
    </w:p>
    <w:p w:rsidR="00983F71" w:rsidRPr="00983F71" w:rsidRDefault="00983F71" w:rsidP="00983F71">
      <w:pPr>
        <w:spacing w:after="0" w:line="240" w:lineRule="auto"/>
        <w:jc w:val="both"/>
        <w:rPr>
          <w:rFonts w:ascii="Arial" w:eastAsia="Times New Roman" w:hAnsi="Arial" w:cs="Arial"/>
          <w:b/>
          <w:bCs/>
          <w:color w:val="FF0000"/>
          <w:sz w:val="20"/>
          <w:szCs w:val="24"/>
          <w:lang w:eastAsia="pt-BR"/>
        </w:rPr>
      </w:pP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20"/>
          <w:lang w:eastAsia="ar-SA"/>
        </w:rPr>
      </w:pPr>
      <w:r w:rsidRPr="00983F71">
        <w:rPr>
          <w:rFonts w:ascii="Arial" w:eastAsia="Times New Roman" w:hAnsi="Arial" w:cs="Arial"/>
          <w:b/>
          <w:sz w:val="20"/>
          <w:szCs w:val="20"/>
          <w:lang w:eastAsia="ar-SA"/>
        </w:rPr>
        <w:t>Nota explicativa</w:t>
      </w:r>
      <w:r w:rsidRPr="00983F71">
        <w:rPr>
          <w:rFonts w:ascii="Arial" w:eastAsia="Times New Roman" w:hAnsi="Arial" w:cs="Arial"/>
          <w:sz w:val="20"/>
          <w:szCs w:val="20"/>
          <w:lang w:eastAsia="ar-SA"/>
        </w:rPr>
        <w:t>: No caso de serviços, quando couber, deve-se definir a forma de aferição/medição do serviço para efeito de pagamento com base no resultado.</w:t>
      </w: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20"/>
          <w:lang w:eastAsia="ar-SA"/>
        </w:rPr>
      </w:pPr>
      <w:r w:rsidRPr="00983F71">
        <w:rPr>
          <w:rFonts w:ascii="Arial" w:eastAsia="Times New Roman" w:hAnsi="Arial" w:cs="Arial"/>
          <w:sz w:val="20"/>
          <w:szCs w:val="20"/>
          <w:lang w:eastAsia="ar-SA"/>
        </w:rPr>
        <w:t>Para essa finalidade, a equipe de planejamento pode indicar, por exemplo: i) o método de avaliação da conformidade dos produtos e dos serviços entregues com relação às especificações técnicas e com a proposta da contratada, com vistas ao recebimento provisório; ii) o método de avaliação da conformidade dos produtos e dos serviços entregues com relação aos termos contratuais e com a proposta da contratada, com vistas ao recebimento definitivo; iii) a lista de verificação para os aceites provisório e definitivo, a serem usadas durante a fiscalização do contrato; iv) os valores e os procedimentos para retenção ou glosa no pagamento etc.</w:t>
      </w: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20"/>
          <w:lang w:eastAsia="ar-SA"/>
        </w:rPr>
      </w:pPr>
      <w:r w:rsidRPr="00983F71">
        <w:rPr>
          <w:rFonts w:ascii="Arial" w:eastAsia="Times New Roman" w:hAnsi="Arial" w:cs="Arial"/>
          <w:sz w:val="20"/>
          <w:szCs w:val="20"/>
          <w:lang w:eastAsia="ar-SA"/>
        </w:rPr>
        <w:t>Com esse propósito, o subitem 8.15, na cor vermelha (de conteúdo modificável), permite que a equipe de planejamento fixe critérios de aceitação dos serviços prestados ou bens fornecidos, abrangendo métricas, indicadores e níveis mínimos de serviços aceitáveis com a respectiva fixação dos valores e procedimentos para glosa no pagamento no eventual descumprimento/não atendimento desses parâmetros, sem prejuízo das sanções cabíveis.</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Times New Roman" w:hAnsi="Arial" w:cs="Arial"/>
          <w:color w:val="000000"/>
          <w:sz w:val="20"/>
          <w:szCs w:val="24"/>
          <w:lang w:eastAsia="pt-BR"/>
        </w:rPr>
      </w:pPr>
      <w:r w:rsidRPr="00983F71">
        <w:rPr>
          <w:rFonts w:ascii="Arial" w:eastAsia="Times New Roman" w:hAnsi="Arial" w:cs="Arial"/>
          <w:b/>
          <w:color w:val="000000"/>
          <w:sz w:val="20"/>
          <w:szCs w:val="24"/>
          <w:lang w:eastAsia="pt-BR"/>
        </w:rPr>
        <w:t>9. DOTAÇÃO ORÇAMENTÁRIA</w:t>
      </w: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color w:val="FF0000"/>
          <w:sz w:val="20"/>
          <w:szCs w:val="24"/>
          <w:lang w:eastAsia="pt-BR"/>
        </w:rPr>
        <w:t>9.1.</w:t>
      </w:r>
      <w:r w:rsidRPr="00983F71">
        <w:rPr>
          <w:rFonts w:ascii="Arial" w:eastAsia="Times New Roman" w:hAnsi="Arial" w:cs="Arial"/>
          <w:color w:val="FF0000"/>
          <w:sz w:val="20"/>
          <w:szCs w:val="24"/>
          <w:lang w:eastAsia="pt-BR"/>
        </w:rPr>
        <w:t xml:space="preserve">  As despesas decorrentes da contratação da presente licitação correrão à </w:t>
      </w:r>
      <w:r w:rsidRPr="00983F71">
        <w:rPr>
          <w:rFonts w:ascii="Arial" w:eastAsia="Times New Roman" w:hAnsi="Arial" w:cs="Arial"/>
          <w:color w:val="FF0000"/>
          <w:sz w:val="20"/>
          <w:szCs w:val="24"/>
          <w:highlight w:val="yellow"/>
          <w:lang w:eastAsia="pt-BR"/>
        </w:rPr>
        <w:t>conta do ............, natureza da despesa n. ............., item da despesa n. ............, fonte n. ...............</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color w:val="FF0000"/>
          <w:sz w:val="20"/>
          <w:szCs w:val="24"/>
          <w:lang w:eastAsia="pt-BR"/>
        </w:rPr>
        <w:t>9.2.</w:t>
      </w:r>
      <w:r w:rsidRPr="00983F71">
        <w:rPr>
          <w:rFonts w:ascii="Arial" w:eastAsia="Times New Roman" w:hAnsi="Arial" w:cs="Arial"/>
          <w:color w:val="FF0000"/>
          <w:sz w:val="20"/>
          <w:szCs w:val="24"/>
          <w:lang w:eastAsia="pt-BR"/>
        </w:rPr>
        <w:t xml:space="preserve"> A Contratante reserva-se no direito de, a seu critério, utilizar ou não a totalidade da reserva orçamentária prevista.</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color w:val="FF0000"/>
          <w:sz w:val="20"/>
          <w:szCs w:val="24"/>
          <w:lang w:eastAsia="pt-BR"/>
        </w:rPr>
        <w:t>9.3.</w:t>
      </w:r>
      <w:r w:rsidRPr="00983F71">
        <w:rPr>
          <w:rFonts w:ascii="Arial" w:eastAsia="Times New Roman" w:hAnsi="Arial" w:cs="Arial"/>
          <w:color w:val="FF0000"/>
          <w:sz w:val="20"/>
          <w:szCs w:val="24"/>
          <w:lang w:eastAsia="pt-BR"/>
        </w:rPr>
        <w:t xml:space="preserve"> As despesas efetuadas no próximo exercício correrão à conta do respectivo orçamento, dentro da mesma programação financeira.</w:t>
      </w: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r w:rsidRPr="00983F71">
        <w:rPr>
          <w:rFonts w:ascii="Arial" w:eastAsia="Times New Roman" w:hAnsi="Arial" w:cs="Arial"/>
          <w:b/>
          <w:color w:val="FF0000"/>
          <w:sz w:val="20"/>
          <w:szCs w:val="24"/>
          <w:highlight w:val="yellow"/>
          <w:lang w:eastAsia="pt-BR"/>
        </w:rPr>
        <w:t>OU</w:t>
      </w: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color w:val="FF0000"/>
          <w:sz w:val="20"/>
          <w:szCs w:val="24"/>
          <w:highlight w:val="cyan"/>
          <w:lang w:eastAsia="pt-BR"/>
        </w:rPr>
        <w:t>9.1.</w:t>
      </w:r>
      <w:r w:rsidRPr="00983F71">
        <w:rPr>
          <w:rFonts w:ascii="Arial" w:eastAsia="Times New Roman" w:hAnsi="Arial" w:cs="Arial"/>
          <w:color w:val="FF0000"/>
          <w:sz w:val="20"/>
          <w:szCs w:val="24"/>
          <w:highlight w:val="cyan"/>
          <w:lang w:eastAsia="pt-BR"/>
        </w:rPr>
        <w:t xml:space="preserve"> Por se tratar de sistema de registro de preço a dotação orçamentária será informada na utilização da ata, conforme disposto no artigo 18 do Decreto Estadual nº 15.454, de 10 de junho de 2020.</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Calibri" w:hAnsi="Arial" w:cs="Arial"/>
          <w:b/>
          <w:bCs/>
          <w:color w:val="FF0000"/>
          <w:sz w:val="20"/>
          <w:szCs w:val="20"/>
        </w:rPr>
      </w:pPr>
      <w:r w:rsidRPr="00983F71">
        <w:rPr>
          <w:rFonts w:ascii="Arial" w:eastAsia="Calibri" w:hAnsi="Arial" w:cs="Arial"/>
          <w:b/>
          <w:bCs/>
          <w:color w:val="FF0000"/>
          <w:sz w:val="20"/>
          <w:szCs w:val="20"/>
        </w:rPr>
        <w:t>10. INFORMAÇÕES COMPLEMENTARES</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bCs/>
          <w:sz w:val="20"/>
          <w:szCs w:val="20"/>
        </w:rPr>
      </w:pPr>
      <w:r w:rsidRPr="00983F71">
        <w:rPr>
          <w:rFonts w:ascii="Arial" w:eastAsia="Calibri" w:hAnsi="Arial" w:cs="Arial"/>
          <w:b/>
          <w:bCs/>
          <w:sz w:val="20"/>
          <w:szCs w:val="20"/>
        </w:rPr>
        <w:t>Orientações práticas:</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bCs/>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sz w:val="20"/>
          <w:szCs w:val="20"/>
        </w:rPr>
        <w:t>O item 10 poderá ser utilizado para a inclusão de outros critérios/obrigações específicos não abrangidos por esta minuta-padrão.</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bCs/>
          <w:sz w:val="20"/>
          <w:szCs w:val="20"/>
        </w:rPr>
      </w:pPr>
      <w:r w:rsidRPr="00983F71">
        <w:rPr>
          <w:rFonts w:ascii="Arial" w:eastAsia="Calibri" w:hAnsi="Arial" w:cs="Arial"/>
          <w:sz w:val="20"/>
          <w:szCs w:val="20"/>
        </w:rPr>
        <w:t>Assim, c</w:t>
      </w:r>
      <w:r w:rsidRPr="00983F71">
        <w:rPr>
          <w:rFonts w:ascii="Arial" w:eastAsia="Calibri" w:hAnsi="Arial" w:cs="Arial"/>
          <w:bCs/>
          <w:sz w:val="20"/>
          <w:szCs w:val="20"/>
        </w:rPr>
        <w:t>aso a equipe de planejamento, dentro de seus estudos preliminares, identifique a necessidade de incluir especificidades sobre esses temas que não se encontrem descritas na minuta-padrão de edital, deverá incluir subitens nas “informações complementares” (ex.: 10.1, 10.2, 10.3), submetendo à análise jurídica do órgão competente.</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bCs/>
          <w:sz w:val="20"/>
          <w:szCs w:val="20"/>
        </w:rPr>
      </w:pPr>
      <w:r w:rsidRPr="00983F71">
        <w:rPr>
          <w:rFonts w:ascii="Arial" w:eastAsia="Calibri" w:hAnsi="Arial" w:cs="Arial"/>
          <w:bCs/>
          <w:sz w:val="20"/>
          <w:szCs w:val="20"/>
        </w:rPr>
        <w:t>Em vermelho, constam alguns EXEMPLOS de temas que poderão suscitar exigências adicionais (documentos da proposta, habilitação, vistoria para licitação, obrigações específicas, sustentabilidade, garantia contratual, pagamento, reajuste, sanções etc.), sem qualquer obrigatoriedade no seu preenchimento.</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Calibri" w:hAnsi="Arial" w:cs="Arial"/>
          <w:b/>
          <w:bCs/>
          <w:color w:val="FF0000"/>
          <w:sz w:val="20"/>
          <w:szCs w:val="20"/>
        </w:rPr>
      </w:pPr>
      <w:r w:rsidRPr="00983F71">
        <w:rPr>
          <w:rFonts w:ascii="Arial" w:eastAsia="Calibri" w:hAnsi="Arial" w:cs="Arial"/>
          <w:b/>
          <w:bCs/>
          <w:color w:val="FF0000"/>
          <w:sz w:val="20"/>
          <w:szCs w:val="20"/>
        </w:rPr>
        <w:t>10.1 DOCUMENTOS DA PROPOSTA</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b/>
          <w:bCs/>
          <w:sz w:val="20"/>
          <w:szCs w:val="20"/>
        </w:rPr>
        <w:t>Orientações práticas</w:t>
      </w:r>
      <w:r w:rsidRPr="00983F71">
        <w:rPr>
          <w:rFonts w:ascii="Arial" w:eastAsia="Calibri" w:hAnsi="Arial" w:cs="Arial"/>
          <w:sz w:val="20"/>
          <w:szCs w:val="20"/>
        </w:rPr>
        <w:t>:</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Cs/>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bCs/>
          <w:sz w:val="20"/>
          <w:szCs w:val="20"/>
        </w:rPr>
      </w:pPr>
      <w:r w:rsidRPr="00983F71">
        <w:rPr>
          <w:rFonts w:ascii="Arial" w:eastAsia="Calibri" w:hAnsi="Arial" w:cs="Arial"/>
          <w:bCs/>
          <w:sz w:val="20"/>
          <w:szCs w:val="20"/>
        </w:rPr>
        <w:t xml:space="preserve">Nesse subitem devem ser incluídas as documentações a serem apresentadas na fase da </w:t>
      </w:r>
      <w:r w:rsidRPr="00983F71">
        <w:rPr>
          <w:rFonts w:ascii="Arial" w:eastAsia="Calibri" w:hAnsi="Arial" w:cs="Arial"/>
          <w:bCs/>
          <w:sz w:val="20"/>
          <w:szCs w:val="20"/>
          <w:u w:val="single"/>
        </w:rPr>
        <w:t>proposta</w:t>
      </w:r>
      <w:r w:rsidRPr="00983F71">
        <w:rPr>
          <w:rFonts w:ascii="Arial" w:eastAsia="Calibri" w:hAnsi="Arial" w:cs="Arial"/>
          <w:bCs/>
          <w:sz w:val="20"/>
          <w:szCs w:val="20"/>
        </w:rPr>
        <w:t xml:space="preserve">. </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bCs/>
          <w:sz w:val="20"/>
          <w:szCs w:val="20"/>
        </w:rPr>
        <w:t xml:space="preserve">Assim, caso a equipe de planejamento pretenda exigir outro(s) documento(s), além daqueles já listados na Minuta-Padrão do Edital, disponibilizada pelo site </w:t>
      </w:r>
      <w:hyperlink r:id="rId7" w:history="1">
        <w:r w:rsidRPr="00983F71">
          <w:rPr>
            <w:rFonts w:ascii="Arial" w:eastAsia="Calibri" w:hAnsi="Arial" w:cs="Arial"/>
            <w:b/>
            <w:color w:val="000080"/>
            <w:sz w:val="20"/>
            <w:szCs w:val="20"/>
            <w:u w:val="single"/>
          </w:rPr>
          <w:t>https://www.pge.ms.gov.br/minutas-padrao-pge-ms/</w:t>
        </w:r>
      </w:hyperlink>
      <w:r w:rsidRPr="00983F71">
        <w:rPr>
          <w:rFonts w:ascii="Arial" w:eastAsia="Calibri" w:hAnsi="Arial" w:cs="Arial"/>
          <w:bCs/>
          <w:sz w:val="20"/>
          <w:szCs w:val="20"/>
        </w:rPr>
        <w:t>, deverá incluir neste tópico do TR e no item do edital que trata da proposta de preços, submetendo à análise do órgão jurídico, se for o caso.</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r w:rsidRPr="00983F71">
        <w:rPr>
          <w:rFonts w:ascii="Arial" w:eastAsia="Times New Roman" w:hAnsi="Arial" w:cs="Arial"/>
          <w:b/>
          <w:color w:val="FF0000"/>
          <w:sz w:val="20"/>
          <w:szCs w:val="24"/>
          <w:lang w:eastAsia="pt-BR"/>
        </w:rPr>
        <w:t>10.2</w:t>
      </w:r>
      <w:r w:rsidRPr="00983F71">
        <w:rPr>
          <w:rFonts w:ascii="Arial" w:eastAsia="Times New Roman" w:hAnsi="Arial" w:cs="Arial"/>
          <w:color w:val="FF0000"/>
          <w:sz w:val="20"/>
          <w:szCs w:val="24"/>
          <w:lang w:eastAsia="pt-BR"/>
        </w:rPr>
        <w:t xml:space="preserve"> </w:t>
      </w:r>
      <w:r w:rsidRPr="00983F71">
        <w:rPr>
          <w:rFonts w:ascii="Arial" w:eastAsia="Times New Roman" w:hAnsi="Arial" w:cs="Arial"/>
          <w:b/>
          <w:color w:val="FF0000"/>
          <w:sz w:val="20"/>
          <w:szCs w:val="24"/>
          <w:lang w:eastAsia="pt-BR"/>
        </w:rPr>
        <w:t>HABILITAÇÃO JURÍDICA, QUALIFICAÇÃO TÉCNICA E ECONÔMICO-FINANCEIRA</w:t>
      </w: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b/>
          <w:bCs/>
          <w:sz w:val="20"/>
          <w:szCs w:val="20"/>
        </w:rPr>
        <w:t>Orientações práticas</w:t>
      </w:r>
      <w:r w:rsidRPr="00983F71">
        <w:rPr>
          <w:rFonts w:ascii="Arial" w:eastAsia="Calibri" w:hAnsi="Arial" w:cs="Arial"/>
          <w:sz w:val="20"/>
          <w:szCs w:val="20"/>
        </w:rPr>
        <w:t>:</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Cs/>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bCs/>
          <w:sz w:val="20"/>
          <w:szCs w:val="20"/>
        </w:rPr>
      </w:pPr>
      <w:r w:rsidRPr="00983F71">
        <w:rPr>
          <w:rFonts w:ascii="Arial" w:eastAsia="Calibri" w:hAnsi="Arial" w:cs="Arial"/>
          <w:bCs/>
          <w:sz w:val="20"/>
          <w:szCs w:val="20"/>
        </w:rPr>
        <w:t xml:space="preserve">As condições </w:t>
      </w:r>
      <w:r w:rsidRPr="00983F71">
        <w:rPr>
          <w:rFonts w:ascii="Arial" w:eastAsia="Calibri" w:hAnsi="Arial" w:cs="Arial"/>
          <w:bCs/>
          <w:sz w:val="20"/>
          <w:szCs w:val="20"/>
          <w:u w:val="single"/>
        </w:rPr>
        <w:t>gerais</w:t>
      </w:r>
      <w:r w:rsidRPr="00983F71">
        <w:rPr>
          <w:rFonts w:ascii="Arial" w:eastAsia="Calibri" w:hAnsi="Arial" w:cs="Arial"/>
          <w:bCs/>
          <w:sz w:val="20"/>
          <w:szCs w:val="20"/>
        </w:rPr>
        <w:t xml:space="preserve"> da Habilitação Jurídica, Fiscal e Trabalhista já estão inseridas na minuta-padrão do Edital, disponibilizada pelo site </w:t>
      </w:r>
      <w:hyperlink r:id="rId8" w:history="1">
        <w:r w:rsidRPr="00983F71">
          <w:rPr>
            <w:rFonts w:ascii="Arial" w:eastAsia="Calibri" w:hAnsi="Arial" w:cs="Arial"/>
            <w:b/>
            <w:color w:val="000080"/>
            <w:sz w:val="20"/>
            <w:szCs w:val="20"/>
            <w:u w:val="single"/>
          </w:rPr>
          <w:t>https://www.pge.ms.gov.br/minutas-padrao-pge-ms/</w:t>
        </w:r>
      </w:hyperlink>
      <w:r w:rsidRPr="00983F71">
        <w:rPr>
          <w:rFonts w:ascii="Arial" w:eastAsia="Calibri" w:hAnsi="Arial" w:cs="Arial"/>
          <w:bCs/>
          <w:sz w:val="20"/>
          <w:szCs w:val="20"/>
        </w:rPr>
        <w:t>.</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bCs/>
          <w:sz w:val="20"/>
          <w:szCs w:val="20"/>
        </w:rPr>
      </w:pPr>
      <w:r w:rsidRPr="00983F71">
        <w:rPr>
          <w:rFonts w:ascii="Arial" w:eastAsia="Calibri" w:hAnsi="Arial" w:cs="Arial"/>
          <w:bCs/>
          <w:sz w:val="20"/>
          <w:szCs w:val="20"/>
        </w:rPr>
        <w:t xml:space="preserve">Contudo, </w:t>
      </w:r>
      <w:r w:rsidRPr="00983F71">
        <w:rPr>
          <w:rFonts w:ascii="Arial" w:eastAsia="Calibri" w:hAnsi="Arial" w:cs="Arial"/>
          <w:color w:val="000000"/>
          <w:sz w:val="20"/>
        </w:rPr>
        <w:t>é permitida a inclusão de outras condições que a equipe de planejamento julgar pertinente, além daquelas definidas na minuta-padrão. Nesta hipótese, deve haver demonstração da pertinência, expressamente indicada mediante citação da norma de regência e dos dispositivos aplicáveis.</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color w:val="000000"/>
          <w:sz w:val="20"/>
          <w:szCs w:val="20"/>
        </w:rPr>
      </w:pPr>
      <w:r w:rsidRPr="00983F71">
        <w:rPr>
          <w:rFonts w:ascii="Arial" w:eastAsia="Calibri" w:hAnsi="Arial" w:cs="Arial"/>
          <w:sz w:val="20"/>
          <w:szCs w:val="20"/>
        </w:rPr>
        <w:t xml:space="preserve">Assim, se for o caso de se exigir condições de habilitação além daquelas prevista na minuta-padrão, estas devem ser inseridas neste tópico do TR e no item do edital que trata da habilitação. </w:t>
      </w:r>
      <w:r w:rsidRPr="00983F71">
        <w:rPr>
          <w:rFonts w:ascii="Arial" w:eastAsia="Calibri" w:hAnsi="Arial" w:cs="Arial"/>
          <w:color w:val="000000" w:themeColor="text1"/>
          <w:sz w:val="20"/>
          <w:szCs w:val="20"/>
        </w:rPr>
        <w:t>Como forma de auxiliar a elaboração dessas exigências, apresentamos abaixo modelos de cláusulas que poderão ser adotadas pela equipe de planejamento.</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color w:val="000000"/>
          <w:sz w:val="20"/>
        </w:rPr>
      </w:pPr>
      <w:r w:rsidRPr="00983F71">
        <w:rPr>
          <w:rFonts w:ascii="Arial" w:eastAsia="Calibri" w:hAnsi="Arial" w:cs="Arial"/>
          <w:b/>
          <w:bCs/>
          <w:color w:val="000000"/>
          <w:sz w:val="20"/>
        </w:rPr>
        <w:t>Registro de preço e requisitos de habilitação</w:t>
      </w:r>
      <w:r w:rsidRPr="00983F71">
        <w:rPr>
          <w:rFonts w:ascii="Arial" w:eastAsia="Calibri" w:hAnsi="Arial" w:cs="Arial"/>
          <w:color w:val="000000"/>
          <w:sz w:val="20"/>
        </w:rPr>
        <w:t xml:space="preserve">: Nos termos do art. 20, IV c/c § 4º do Decreto Estadual nº 15.454/2020, no caso de registro de preços a estimativa de quantidades a serem adquiridas por órgãos </w:t>
      </w:r>
      <w:r w:rsidRPr="00983F71">
        <w:rPr>
          <w:rFonts w:ascii="Arial" w:eastAsia="Calibri" w:hAnsi="Arial" w:cs="Arial"/>
          <w:color w:val="000000"/>
          <w:sz w:val="20"/>
          <w:u w:val="single"/>
        </w:rPr>
        <w:t>não participantes</w:t>
      </w:r>
      <w:r w:rsidRPr="00983F71">
        <w:rPr>
          <w:rFonts w:ascii="Arial" w:eastAsia="Calibri" w:hAnsi="Arial" w:cs="Arial"/>
          <w:color w:val="000000"/>
          <w:sz w:val="20"/>
        </w:rPr>
        <w:t xml:space="preserve"> não será considerada para fins de qualificação técnica e qualificação econômico-financeira na habilitação do licitante.</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widowControl w:val="0"/>
        <w:tabs>
          <w:tab w:val="left" w:pos="567"/>
        </w:tabs>
        <w:suppressAutoHyphens/>
        <w:spacing w:after="0" w:line="240" w:lineRule="auto"/>
        <w:jc w:val="both"/>
        <w:rPr>
          <w:rFonts w:ascii="Arial" w:eastAsia="Times New Roman" w:hAnsi="Arial" w:cs="Arial"/>
          <w:color w:val="FF0000"/>
          <w:sz w:val="20"/>
          <w:szCs w:val="20"/>
          <w:lang w:eastAsia="ar-SA"/>
        </w:rPr>
      </w:pPr>
      <w:r w:rsidRPr="00983F71">
        <w:rPr>
          <w:rFonts w:ascii="Arial" w:eastAsia="Times New Roman" w:hAnsi="Arial" w:cs="Arial"/>
          <w:b/>
          <w:bCs/>
          <w:color w:val="FF0000"/>
          <w:sz w:val="20"/>
          <w:szCs w:val="20"/>
          <w:lang w:eastAsia="ar-SA"/>
        </w:rPr>
        <w:t>10.2.1.</w:t>
      </w:r>
      <w:r w:rsidRPr="00983F71">
        <w:rPr>
          <w:rFonts w:ascii="Arial" w:eastAsia="Times New Roman" w:hAnsi="Arial" w:cs="Arial"/>
          <w:color w:val="FF0000"/>
          <w:sz w:val="20"/>
          <w:szCs w:val="20"/>
          <w:lang w:eastAsia="ar-SA"/>
        </w:rPr>
        <w:t xml:space="preserve"> Registro ou inscrição da empresa licitante na entidade profissional </w:t>
      </w:r>
      <w:r w:rsidRPr="00983F71">
        <w:rPr>
          <w:rFonts w:ascii="Arial" w:eastAsia="Times New Roman" w:hAnsi="Arial" w:cs="Arial"/>
          <w:color w:val="FF0000"/>
          <w:sz w:val="20"/>
          <w:szCs w:val="20"/>
          <w:highlight w:val="yellow"/>
          <w:lang w:eastAsia="ar-SA"/>
        </w:rPr>
        <w:t>.........(escrever por extenso, se o caso)</w:t>
      </w:r>
      <w:r w:rsidRPr="00983F71">
        <w:rPr>
          <w:rFonts w:ascii="Arial" w:eastAsia="Times New Roman" w:hAnsi="Arial" w:cs="Arial"/>
          <w:color w:val="FF0000"/>
          <w:sz w:val="20"/>
          <w:szCs w:val="20"/>
          <w:lang w:eastAsia="ar-SA"/>
        </w:rPr>
        <w:t>, em plena validade.</w:t>
      </w:r>
    </w:p>
    <w:p w:rsidR="00983F71" w:rsidRPr="00983F71" w:rsidRDefault="00983F71" w:rsidP="00983F71">
      <w:pPr>
        <w:widowControl w:val="0"/>
        <w:tabs>
          <w:tab w:val="left" w:pos="567"/>
        </w:tabs>
        <w:suppressAutoHyphens/>
        <w:spacing w:after="0" w:line="240" w:lineRule="auto"/>
        <w:jc w:val="both"/>
        <w:rPr>
          <w:rFonts w:ascii="Arial" w:eastAsia="Times New Roman" w:hAnsi="Arial" w:cs="Arial"/>
          <w:color w:val="FF0000"/>
          <w:sz w:val="20"/>
          <w:szCs w:val="20"/>
          <w:lang w:eastAsia="ar-SA"/>
        </w:rPr>
      </w:pP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14"/>
          <w:lang w:eastAsia="ar-SA"/>
        </w:rPr>
      </w:pPr>
      <w:r w:rsidRPr="00983F71">
        <w:rPr>
          <w:rFonts w:ascii="Arial" w:eastAsia="Times New Roman" w:hAnsi="Arial" w:cs="Arial"/>
          <w:b/>
          <w:sz w:val="20"/>
          <w:szCs w:val="20"/>
          <w:lang w:eastAsia="ar-SA"/>
        </w:rPr>
        <w:t>Nota explicativa</w:t>
      </w:r>
      <w:r w:rsidRPr="00983F71">
        <w:rPr>
          <w:rFonts w:ascii="Arial" w:eastAsia="Times New Roman" w:hAnsi="Arial" w:cs="Arial"/>
          <w:sz w:val="20"/>
          <w:szCs w:val="20"/>
          <w:lang w:eastAsia="ar-SA"/>
        </w:rPr>
        <w:t xml:space="preserve">: </w:t>
      </w:r>
      <w:r w:rsidRPr="00983F71">
        <w:rPr>
          <w:rFonts w:ascii="Arial" w:eastAsia="Times New Roman" w:hAnsi="Arial" w:cs="Arial"/>
          <w:sz w:val="20"/>
          <w:szCs w:val="14"/>
          <w:lang w:eastAsia="ar-SA"/>
        </w:rPr>
        <w:t xml:space="preserve">Tal exigência só deve ser formulada quando, por </w:t>
      </w:r>
      <w:r w:rsidRPr="00983F71">
        <w:rPr>
          <w:rFonts w:ascii="Arial" w:eastAsia="Times New Roman" w:hAnsi="Arial" w:cs="Arial"/>
          <w:b/>
          <w:bCs/>
          <w:sz w:val="20"/>
          <w:szCs w:val="14"/>
          <w:u w:val="single"/>
          <w:lang w:eastAsia="ar-SA"/>
        </w:rPr>
        <w:t>determinação legal</w:t>
      </w:r>
      <w:r w:rsidRPr="00983F71">
        <w:rPr>
          <w:rFonts w:ascii="Arial" w:eastAsia="Times New Roman" w:hAnsi="Arial" w:cs="Arial"/>
          <w:sz w:val="20"/>
          <w:szCs w:val="14"/>
          <w:lang w:eastAsia="ar-SA"/>
        </w:rPr>
        <w:t>, o exercício de determinada atividade afeta ao objeto contratual esteja sujeita à fiscalização da entidade profissional competente, a ser indicada expressamente no edital.</w:t>
      </w: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14"/>
          <w:lang w:eastAsia="ar-SA"/>
        </w:rPr>
      </w:pPr>
      <w:r w:rsidRPr="00983F71">
        <w:rPr>
          <w:rFonts w:ascii="Arial" w:eastAsia="Times New Roman" w:hAnsi="Arial" w:cs="Arial"/>
          <w:sz w:val="20"/>
          <w:szCs w:val="14"/>
          <w:lang w:eastAsia="ar-SA"/>
        </w:rPr>
        <w:t xml:space="preserve">Além disso, a exigência de registro ou inscrição na entidade profissional competente, para fins de comprovação de qualificação técnica (art. 30, inciso I, da Lei 8.666/1993), </w:t>
      </w:r>
      <w:r w:rsidRPr="00983F71">
        <w:rPr>
          <w:rFonts w:ascii="Arial" w:eastAsia="Times New Roman" w:hAnsi="Arial" w:cs="Arial"/>
          <w:b/>
          <w:bCs/>
          <w:sz w:val="20"/>
          <w:szCs w:val="14"/>
          <w:u w:val="single"/>
          <w:lang w:eastAsia="ar-SA"/>
        </w:rPr>
        <w:t>deve se limitar ao conselho que fiscalize a atividade básica ou o serviço preponderante da licitação</w:t>
      </w:r>
      <w:r w:rsidRPr="00983F71">
        <w:rPr>
          <w:rFonts w:ascii="Arial" w:eastAsia="Times New Roman" w:hAnsi="Arial" w:cs="Arial"/>
          <w:sz w:val="20"/>
          <w:szCs w:val="14"/>
          <w:lang w:eastAsia="ar-SA"/>
        </w:rPr>
        <w:t>.</w:t>
      </w: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14"/>
          <w:lang w:eastAsia="ar-SA"/>
        </w:rPr>
      </w:pPr>
      <w:r w:rsidRPr="00983F71">
        <w:rPr>
          <w:rFonts w:ascii="Arial" w:eastAsia="Times New Roman" w:hAnsi="Arial" w:cs="Arial"/>
          <w:sz w:val="20"/>
          <w:szCs w:val="14"/>
          <w:lang w:eastAsia="ar-SA"/>
        </w:rPr>
        <w:t>Quando não existir determinação legal atrelando o exercício de determinada atividade ao correspondente conselho de fiscalização profissional, a exigência de registro ou inscrição, para fim de habilitação, torna-se inaplicável.</w:t>
      </w: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14"/>
          <w:lang w:eastAsia="ar-SA"/>
        </w:rPr>
      </w:pPr>
      <w:r w:rsidRPr="00983F71">
        <w:rPr>
          <w:rFonts w:ascii="Arial" w:eastAsia="Times New Roman" w:hAnsi="Arial" w:cs="Arial"/>
          <w:sz w:val="20"/>
          <w:szCs w:val="14"/>
          <w:lang w:eastAsia="ar-SA"/>
        </w:rPr>
        <w:t>Nessas situações, o referido subitem deve ser excluído.</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983F71">
        <w:rPr>
          <w:rFonts w:ascii="Arial" w:eastAsia="Times New Roman" w:hAnsi="Arial" w:cs="Arial"/>
          <w:b/>
          <w:color w:val="FF0000"/>
          <w:sz w:val="20"/>
          <w:szCs w:val="14"/>
          <w:lang w:eastAsia="pt-BR"/>
        </w:rPr>
        <w:t>10.2.2.</w:t>
      </w:r>
      <w:r w:rsidRPr="00983F71">
        <w:rPr>
          <w:rFonts w:ascii="Arial" w:eastAsia="Times New Roman" w:hAnsi="Arial" w:cs="Arial"/>
          <w:bCs/>
          <w:color w:val="FF0000"/>
          <w:sz w:val="20"/>
          <w:szCs w:val="14"/>
          <w:lang w:eastAsia="pt-BR"/>
        </w:rPr>
        <w:t xml:space="preserve"> No caso de exercício de atividade de </w:t>
      </w:r>
      <w:r w:rsidRPr="00983F71">
        <w:rPr>
          <w:rFonts w:ascii="Arial" w:eastAsia="Times New Roman" w:hAnsi="Arial" w:cs="Arial"/>
          <w:bCs/>
          <w:color w:val="FF0000"/>
          <w:sz w:val="20"/>
          <w:szCs w:val="14"/>
          <w:highlight w:val="yellow"/>
          <w:lang w:eastAsia="pt-BR"/>
        </w:rPr>
        <w:t>............:</w:t>
      </w:r>
      <w:r w:rsidRPr="00983F71">
        <w:rPr>
          <w:rFonts w:ascii="Arial" w:eastAsia="Times New Roman" w:hAnsi="Arial" w:cs="Arial"/>
          <w:bCs/>
          <w:color w:val="FF0000"/>
          <w:sz w:val="20"/>
          <w:szCs w:val="14"/>
          <w:lang w:eastAsia="pt-BR"/>
        </w:rPr>
        <w:t xml:space="preserve"> ato de registro ou autorização para funcionamento expedido pelo órgão competente, nos termos do artigo </w:t>
      </w:r>
      <w:r w:rsidRPr="00983F71">
        <w:rPr>
          <w:rFonts w:ascii="Arial" w:eastAsia="Times New Roman" w:hAnsi="Arial" w:cs="Arial"/>
          <w:bCs/>
          <w:color w:val="FF0000"/>
          <w:sz w:val="20"/>
          <w:szCs w:val="14"/>
          <w:highlight w:val="yellow"/>
          <w:lang w:eastAsia="pt-BR"/>
        </w:rPr>
        <w:t>......</w:t>
      </w:r>
      <w:r w:rsidRPr="00983F71">
        <w:rPr>
          <w:rFonts w:ascii="Arial" w:eastAsia="Times New Roman" w:hAnsi="Arial" w:cs="Arial"/>
          <w:bCs/>
          <w:color w:val="FF0000"/>
          <w:sz w:val="20"/>
          <w:szCs w:val="14"/>
          <w:lang w:eastAsia="pt-BR"/>
        </w:rPr>
        <w:t xml:space="preserve"> da (Lei/Decreto) n° ..............</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14"/>
          <w:lang w:eastAsia="ar-SA"/>
        </w:rPr>
      </w:pPr>
      <w:r w:rsidRPr="00983F71">
        <w:rPr>
          <w:rFonts w:ascii="Arial" w:eastAsia="Times New Roman" w:hAnsi="Arial" w:cs="Arial"/>
          <w:b/>
          <w:sz w:val="20"/>
          <w:szCs w:val="20"/>
          <w:lang w:eastAsia="ar-SA"/>
        </w:rPr>
        <w:t>Nota explicativa</w:t>
      </w:r>
      <w:r w:rsidRPr="00983F71">
        <w:rPr>
          <w:rFonts w:ascii="Arial" w:eastAsia="Times New Roman" w:hAnsi="Arial" w:cs="Arial"/>
          <w:sz w:val="20"/>
          <w:szCs w:val="20"/>
          <w:lang w:eastAsia="ar-SA"/>
        </w:rPr>
        <w:t>: A previsão do subitem 10.2.2. tem amparo no inciso V do art. 28 da Lei n. 8.666/93. Contudo, somente pode ser exigido se a atividade relacionada ao objeto exigir registro ou autorização para funcionamento decorrente de previsão normativa. Nesse caso, deve ser identificado o documento a ser apresentado, o órgão competente para expedi-lo e o fundamento legal da exigência, com a indicação precisa do(s) dispositivo(s) legal(is) aplicável(eis).</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983F71">
        <w:rPr>
          <w:rFonts w:ascii="Arial" w:eastAsia="Times New Roman" w:hAnsi="Arial" w:cs="Arial"/>
          <w:b/>
          <w:color w:val="FF0000"/>
          <w:sz w:val="20"/>
          <w:szCs w:val="14"/>
          <w:lang w:eastAsia="pt-BR"/>
        </w:rPr>
        <w:lastRenderedPageBreak/>
        <w:t>10.2.3.</w:t>
      </w:r>
      <w:r w:rsidRPr="00983F71">
        <w:rPr>
          <w:rFonts w:ascii="Arial" w:eastAsia="Times New Roman" w:hAnsi="Arial" w:cs="Arial"/>
          <w:bCs/>
          <w:color w:val="FF0000"/>
          <w:sz w:val="20"/>
          <w:szCs w:val="14"/>
          <w:lang w:eastAsia="pt-BR"/>
        </w:rPr>
        <w:t xml:space="preserve"> Apresentação de atestado(s) de bom desempenho anterior em contrato da mesma natureza e porte, fornecido(s) por pessoas jurídicas de direito público ou privado, que especifique(m) em seu objeto necessariamente os tipos de serviços realizados, com indicações das quantidades e prazo contratual, datas de início e término e local da prestação dos serviços.</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983F71">
        <w:rPr>
          <w:rFonts w:ascii="Arial" w:eastAsia="Times New Roman" w:hAnsi="Arial" w:cs="Arial"/>
          <w:b/>
          <w:color w:val="FF0000"/>
          <w:sz w:val="20"/>
          <w:szCs w:val="14"/>
          <w:lang w:eastAsia="pt-BR"/>
        </w:rPr>
        <w:t>10.2.3.1.</w:t>
      </w:r>
      <w:r w:rsidRPr="00983F71">
        <w:rPr>
          <w:rFonts w:ascii="Arial" w:eastAsia="Times New Roman" w:hAnsi="Arial" w:cs="Arial"/>
          <w:bCs/>
          <w:color w:val="FF0000"/>
          <w:sz w:val="20"/>
          <w:szCs w:val="14"/>
          <w:lang w:eastAsia="pt-BR"/>
        </w:rPr>
        <w:t xml:space="preserve"> Entende-se por mesma natureza e porte, atestado(s) de serviços similares ao objeto da licitação que demonstre(m) que a empresa prestou serviços correspondentes a </w:t>
      </w:r>
      <w:r w:rsidRPr="00983F71">
        <w:rPr>
          <w:rFonts w:ascii="Arial" w:eastAsia="Times New Roman" w:hAnsi="Arial" w:cs="Arial"/>
          <w:bCs/>
          <w:color w:val="FF0000"/>
          <w:sz w:val="20"/>
          <w:szCs w:val="14"/>
          <w:highlight w:val="yellow"/>
          <w:lang w:eastAsia="pt-BR"/>
        </w:rPr>
        <w:t>...........% (................)</w:t>
      </w:r>
      <w:r w:rsidRPr="00983F71">
        <w:rPr>
          <w:rFonts w:ascii="Arial" w:eastAsia="Times New Roman" w:hAnsi="Arial" w:cs="Arial"/>
          <w:bCs/>
          <w:color w:val="FF0000"/>
          <w:sz w:val="20"/>
          <w:szCs w:val="14"/>
          <w:lang w:eastAsia="pt-BR"/>
        </w:rPr>
        <w:t xml:space="preserve"> do objeto da licitação.</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983F71">
        <w:rPr>
          <w:rFonts w:ascii="Arial" w:eastAsia="Times New Roman" w:hAnsi="Arial" w:cs="Arial"/>
          <w:b/>
          <w:color w:val="FF0000"/>
          <w:sz w:val="20"/>
          <w:szCs w:val="14"/>
          <w:lang w:eastAsia="pt-BR"/>
        </w:rPr>
        <w:t>10.2.3.1.1.</w:t>
      </w:r>
      <w:r w:rsidRPr="00983F71">
        <w:rPr>
          <w:rFonts w:ascii="Arial" w:eastAsia="Times New Roman" w:hAnsi="Arial" w:cs="Arial"/>
          <w:bCs/>
          <w:color w:val="FF0000"/>
          <w:sz w:val="20"/>
          <w:szCs w:val="14"/>
          <w:lang w:eastAsia="pt-BR"/>
        </w:rPr>
        <w:t xml:space="preserve"> A comprovação a que se refere o item 10.2.3.1 poderá ser efetuada pelo somatório das quantidades realizadas em tantos contratos quanto dispuser a licitante.</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983F71">
        <w:rPr>
          <w:rFonts w:ascii="Arial" w:eastAsia="Times New Roman" w:hAnsi="Arial" w:cs="Arial"/>
          <w:b/>
          <w:color w:val="FF0000"/>
          <w:sz w:val="20"/>
          <w:szCs w:val="14"/>
          <w:lang w:eastAsia="pt-BR"/>
        </w:rPr>
        <w:t>10.2.3.2.</w:t>
      </w:r>
      <w:r w:rsidRPr="00983F71">
        <w:rPr>
          <w:rFonts w:ascii="Arial" w:eastAsia="Times New Roman" w:hAnsi="Arial" w:cs="Arial"/>
          <w:bCs/>
          <w:color w:val="FF0000"/>
          <w:sz w:val="20"/>
          <w:szCs w:val="14"/>
          <w:lang w:eastAsia="pt-BR"/>
        </w:rPr>
        <w:t xml:space="preserve"> O(s) atestado(s) deverá(ão) conter a identificação da pessoa jurídica emitente e a identificação do signatário. Caso não conste do(s) atestado(s) telefone para contato, a licitante deverá apresentar também documento que informe telefone ou qualquer outro meio de contato com o emitente do(s) atestado(s).</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14"/>
          <w:lang w:eastAsia="ar-SA"/>
        </w:rPr>
      </w:pPr>
      <w:r w:rsidRPr="00983F71">
        <w:rPr>
          <w:rFonts w:ascii="Arial" w:eastAsia="Times New Roman" w:hAnsi="Arial" w:cs="Arial"/>
          <w:b/>
          <w:sz w:val="20"/>
          <w:szCs w:val="20"/>
          <w:lang w:eastAsia="ar-SA"/>
        </w:rPr>
        <w:t>Nota explicativa</w:t>
      </w:r>
      <w:r w:rsidRPr="00983F71">
        <w:rPr>
          <w:rFonts w:ascii="Arial" w:eastAsia="Times New Roman" w:hAnsi="Arial" w:cs="Arial"/>
          <w:sz w:val="20"/>
          <w:szCs w:val="20"/>
          <w:lang w:eastAsia="ar-SA"/>
        </w:rPr>
        <w:t xml:space="preserve">: É possível a exigência do atestado de capacidade técnico-operacional para contratação de serviços, desde que </w:t>
      </w:r>
      <w:r w:rsidRPr="00983F71">
        <w:rPr>
          <w:rFonts w:ascii="Arial" w:eastAsia="Times New Roman" w:hAnsi="Arial" w:cs="Arial"/>
          <w:b/>
          <w:bCs/>
          <w:sz w:val="20"/>
          <w:szCs w:val="20"/>
          <w:u w:val="single"/>
          <w:lang w:eastAsia="ar-SA"/>
        </w:rPr>
        <w:t>devidamente justificado</w:t>
      </w:r>
      <w:r w:rsidRPr="00983F71">
        <w:rPr>
          <w:rFonts w:ascii="Arial" w:eastAsia="Times New Roman" w:hAnsi="Arial" w:cs="Arial"/>
          <w:sz w:val="20"/>
          <w:szCs w:val="20"/>
          <w:lang w:eastAsia="ar-SA"/>
        </w:rPr>
        <w:t xml:space="preserve"> no caso em concreto, e que sua exigência decorra das características, quantidades e prazo do objeto da licitação (art. 30, inciso II, da Lei n° 8.666/93).</w:t>
      </w: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14"/>
          <w:lang w:eastAsia="ar-SA"/>
        </w:rPr>
      </w:pPr>
      <w:r w:rsidRPr="00983F71">
        <w:rPr>
          <w:rFonts w:ascii="Arial" w:eastAsia="Times New Roman" w:hAnsi="Arial" w:cs="Arial"/>
          <w:sz w:val="20"/>
          <w:szCs w:val="14"/>
          <w:lang w:eastAsia="ar-SA"/>
        </w:rPr>
        <w:t xml:space="preserve">Para a comprovação da capacidade técnica podem ser exigidos atestados até o </w:t>
      </w:r>
      <w:r w:rsidRPr="00983F71">
        <w:rPr>
          <w:rFonts w:ascii="Arial" w:eastAsia="Times New Roman" w:hAnsi="Arial" w:cs="Arial"/>
          <w:b/>
          <w:bCs/>
          <w:sz w:val="20"/>
          <w:szCs w:val="14"/>
          <w:u w:val="single"/>
          <w:lang w:eastAsia="ar-SA"/>
        </w:rPr>
        <w:t>limite de 50%</w:t>
      </w:r>
      <w:r w:rsidRPr="00983F71">
        <w:rPr>
          <w:rFonts w:ascii="Arial" w:eastAsia="Times New Roman" w:hAnsi="Arial" w:cs="Arial"/>
          <w:sz w:val="20"/>
          <w:szCs w:val="14"/>
          <w:lang w:eastAsia="ar-SA"/>
        </w:rPr>
        <w:t xml:space="preserve"> do serviço objeto da licitação. (TCU - Ac. 2.696/2019 – 1ª Câmara)</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983F71">
        <w:rPr>
          <w:rFonts w:ascii="Arial" w:eastAsia="Times New Roman" w:hAnsi="Arial" w:cs="Arial"/>
          <w:b/>
          <w:color w:val="FF0000"/>
          <w:sz w:val="20"/>
          <w:szCs w:val="14"/>
          <w:lang w:eastAsia="pt-BR"/>
        </w:rPr>
        <w:t>10.2.4.</w:t>
      </w:r>
      <w:r w:rsidRPr="00983F71">
        <w:rPr>
          <w:rFonts w:ascii="Arial" w:eastAsia="Times New Roman" w:hAnsi="Arial" w:cs="Arial"/>
          <w:bCs/>
          <w:color w:val="FF0000"/>
          <w:sz w:val="20"/>
          <w:szCs w:val="14"/>
          <w:lang w:eastAsia="pt-BR"/>
        </w:rPr>
        <w:t xml:space="preserve"> Declaração, conforme modelo constante no Anexo </w:t>
      </w:r>
      <w:r w:rsidRPr="00983F71">
        <w:rPr>
          <w:rFonts w:ascii="Arial" w:eastAsia="Times New Roman" w:hAnsi="Arial" w:cs="Arial"/>
          <w:bCs/>
          <w:color w:val="FF0000"/>
          <w:sz w:val="20"/>
          <w:szCs w:val="14"/>
          <w:highlight w:val="yellow"/>
          <w:lang w:eastAsia="pt-BR"/>
        </w:rPr>
        <w:t>.......</w:t>
      </w:r>
      <w:r w:rsidRPr="00983F71">
        <w:rPr>
          <w:rFonts w:ascii="Arial" w:eastAsia="Times New Roman" w:hAnsi="Arial" w:cs="Arial"/>
          <w:bCs/>
          <w:color w:val="FF0000"/>
          <w:sz w:val="20"/>
          <w:szCs w:val="14"/>
          <w:lang w:eastAsia="pt-BR"/>
        </w:rPr>
        <w:t xml:space="preserve">, de que dispõe em seu quadro permanente de profissional de nível superior ou outro devidamente reconhecido, registrado ou inscrito no(a) </w:t>
      </w:r>
      <w:r w:rsidRPr="00983F71">
        <w:rPr>
          <w:rFonts w:ascii="Arial" w:eastAsia="Times New Roman" w:hAnsi="Arial" w:cs="Arial"/>
          <w:bCs/>
          <w:color w:val="FF0000"/>
          <w:sz w:val="20"/>
          <w:szCs w:val="14"/>
          <w:highlight w:val="yellow"/>
          <w:lang w:eastAsia="pt-BR"/>
        </w:rPr>
        <w:t>...............</w:t>
      </w:r>
      <w:r w:rsidRPr="00983F71">
        <w:rPr>
          <w:rFonts w:ascii="Arial" w:eastAsia="Times New Roman" w:hAnsi="Arial" w:cs="Arial"/>
          <w:bCs/>
          <w:color w:val="FF0000"/>
          <w:sz w:val="20"/>
          <w:szCs w:val="14"/>
          <w:lang w:eastAsia="pt-BR"/>
        </w:rPr>
        <w:t xml:space="preserve"> </w:t>
      </w:r>
      <w:r w:rsidRPr="00983F71">
        <w:rPr>
          <w:rFonts w:ascii="Arial" w:eastAsia="Times New Roman" w:hAnsi="Arial" w:cs="Arial"/>
          <w:bCs/>
          <w:color w:val="FF0000"/>
          <w:sz w:val="20"/>
          <w:szCs w:val="14"/>
          <w:highlight w:val="yellow"/>
          <w:lang w:eastAsia="pt-BR"/>
        </w:rPr>
        <w:t>(indicar a entidade profissional competente)</w:t>
      </w:r>
      <w:r w:rsidRPr="00983F71">
        <w:rPr>
          <w:rFonts w:ascii="Arial" w:eastAsia="Times New Roman" w:hAnsi="Arial" w:cs="Arial"/>
          <w:bCs/>
          <w:color w:val="FF0000"/>
          <w:sz w:val="20"/>
          <w:szCs w:val="14"/>
          <w:lang w:eastAsia="pt-BR"/>
        </w:rPr>
        <w:t>, que será o responsável técnico pela execução dos serviços contratados.</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983F71">
        <w:rPr>
          <w:rFonts w:ascii="Arial" w:eastAsia="Times New Roman" w:hAnsi="Arial" w:cs="Arial"/>
          <w:b/>
          <w:color w:val="FF0000"/>
          <w:sz w:val="20"/>
          <w:szCs w:val="14"/>
          <w:lang w:eastAsia="pt-BR"/>
        </w:rPr>
        <w:t>10.2.4.1.</w:t>
      </w:r>
      <w:r w:rsidRPr="00983F71">
        <w:rPr>
          <w:rFonts w:ascii="Arial" w:eastAsia="Times New Roman" w:hAnsi="Arial" w:cs="Arial"/>
          <w:bCs/>
          <w:color w:val="FF0000"/>
          <w:sz w:val="20"/>
          <w:szCs w:val="14"/>
          <w:lang w:eastAsia="pt-BR"/>
        </w:rPr>
        <w:t xml:space="preserve"> O vínculo do referido profissional com a empresa licitante deverá ser comprovado como condição para a assinatura do contrato, admitindo-se para tanto, dentre outros documentos, a carteira de trabalho e o contrato de prestação de serviços e, em se tratando de sócios, o ato constitutivo da empresa.</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20"/>
          <w:lang w:eastAsia="ar-SA"/>
        </w:rPr>
      </w:pPr>
      <w:r w:rsidRPr="00983F71">
        <w:rPr>
          <w:rFonts w:ascii="Arial" w:eastAsia="Times New Roman" w:hAnsi="Arial" w:cs="Arial"/>
          <w:b/>
          <w:sz w:val="20"/>
          <w:szCs w:val="20"/>
          <w:lang w:eastAsia="ar-SA"/>
        </w:rPr>
        <w:t>Nota explicativa</w:t>
      </w:r>
      <w:r w:rsidRPr="00983F71">
        <w:rPr>
          <w:rFonts w:ascii="Arial" w:eastAsia="Times New Roman" w:hAnsi="Arial" w:cs="Arial"/>
          <w:sz w:val="20"/>
          <w:szCs w:val="20"/>
          <w:lang w:eastAsia="ar-SA"/>
        </w:rPr>
        <w:t xml:space="preserve">: É possível a exigência de comprovação da capacidade técnica profissional para a prestação do serviço, desde que </w:t>
      </w:r>
      <w:r w:rsidRPr="00983F71">
        <w:rPr>
          <w:rFonts w:ascii="Arial" w:eastAsia="Times New Roman" w:hAnsi="Arial" w:cs="Arial"/>
          <w:b/>
          <w:bCs/>
          <w:sz w:val="20"/>
          <w:szCs w:val="20"/>
          <w:u w:val="single"/>
          <w:lang w:eastAsia="ar-SA"/>
        </w:rPr>
        <w:t>devidamente justificado</w:t>
      </w:r>
      <w:r w:rsidRPr="00983F71">
        <w:rPr>
          <w:rFonts w:ascii="Arial" w:eastAsia="Times New Roman" w:hAnsi="Arial" w:cs="Arial"/>
          <w:sz w:val="20"/>
          <w:szCs w:val="20"/>
          <w:lang w:eastAsia="ar-SA"/>
        </w:rPr>
        <w:t xml:space="preserve"> no caso em concreto que a presença do profissional exigido é indispensável para a execução do objeto.</w:t>
      </w: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20"/>
          <w:lang w:eastAsia="ar-SA"/>
        </w:rPr>
      </w:pPr>
      <w:r w:rsidRPr="00983F71">
        <w:rPr>
          <w:rFonts w:ascii="Arial" w:eastAsia="Times New Roman" w:hAnsi="Arial" w:cs="Arial"/>
          <w:sz w:val="20"/>
          <w:szCs w:val="20"/>
          <w:lang w:eastAsia="ar-SA"/>
        </w:rPr>
        <w:t>Vale lembrar que o TCU tem entendimento no sentido de que “</w:t>
      </w:r>
      <w:r w:rsidRPr="00983F71">
        <w:rPr>
          <w:rFonts w:ascii="Arial" w:eastAsia="Times New Roman" w:hAnsi="Arial" w:cs="Arial"/>
          <w:i/>
          <w:iCs/>
          <w:sz w:val="20"/>
          <w:szCs w:val="20"/>
          <w:lang w:eastAsia="ar-SA"/>
        </w:rPr>
        <w:t>é irregular exigir, para fins de habilitação, a comprovação da disponibilidade de pessoal com formação em áreas do conhecimento que não serão necessários à execução dos serviços a serem contratados ou que se encarreguem de parcelas de pequena relevância</w:t>
      </w:r>
      <w:r w:rsidRPr="00983F71">
        <w:rPr>
          <w:rFonts w:ascii="Arial" w:eastAsia="Times New Roman" w:hAnsi="Arial" w:cs="Arial"/>
          <w:sz w:val="20"/>
          <w:szCs w:val="20"/>
          <w:lang w:eastAsia="ar-SA"/>
        </w:rPr>
        <w:t>”. (Ac. 2749/10-P)</w:t>
      </w: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14"/>
          <w:lang w:eastAsia="ar-SA"/>
        </w:rPr>
      </w:pPr>
      <w:r w:rsidRPr="00983F71">
        <w:rPr>
          <w:rFonts w:ascii="Arial" w:eastAsia="Times New Roman" w:hAnsi="Arial" w:cs="Arial"/>
          <w:sz w:val="20"/>
          <w:szCs w:val="14"/>
          <w:lang w:eastAsia="ar-SA"/>
        </w:rPr>
        <w:t>Em relação ao momento para a comprovação da capacidade técnica profissional, o TCU vem decidindo no sentido de que só pode ser exigida na celebração do contrato. Na habilitação, pode ser exigida da licitante unicamente a apresentação de declaração de disponibilidade do profissional exigido. (Ac. 2913/09-P e Ac. 529/18-P)</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color w:val="FF0000"/>
          <w:sz w:val="20"/>
          <w:szCs w:val="20"/>
          <w:lang w:eastAsia="pt-BR"/>
        </w:rPr>
      </w:pPr>
    </w:p>
    <w:p w:rsidR="00983F71" w:rsidRPr="00983F71" w:rsidRDefault="00983F71" w:rsidP="00983F71">
      <w:pPr>
        <w:tabs>
          <w:tab w:val="left" w:pos="567"/>
        </w:tabs>
        <w:spacing w:after="0" w:line="240" w:lineRule="auto"/>
        <w:jc w:val="both"/>
        <w:rPr>
          <w:rFonts w:ascii="Arial" w:eastAsia="Arial" w:hAnsi="Arial" w:cs="Arial"/>
          <w:color w:val="FF0000"/>
          <w:sz w:val="20"/>
          <w:szCs w:val="20"/>
          <w:lang w:eastAsia="pt-BR"/>
        </w:rPr>
      </w:pPr>
      <w:r w:rsidRPr="00983F71">
        <w:rPr>
          <w:rFonts w:ascii="Arial" w:eastAsia="Times New Roman" w:hAnsi="Arial" w:cs="Arial"/>
          <w:b/>
          <w:bCs/>
          <w:color w:val="FF0000"/>
          <w:sz w:val="20"/>
          <w:szCs w:val="20"/>
          <w:lang w:eastAsia="pt-BR"/>
        </w:rPr>
        <w:t xml:space="preserve">10.2.5. </w:t>
      </w:r>
      <w:r w:rsidRPr="00983F71">
        <w:rPr>
          <w:rFonts w:ascii="Arial" w:eastAsia="Arial" w:hAnsi="Arial" w:cs="Arial"/>
          <w:color w:val="FF0000"/>
          <w:sz w:val="20"/>
          <w:szCs w:val="20"/>
          <w:lang w:eastAsia="pt-BR"/>
        </w:rPr>
        <w:t xml:space="preserve">Para os fins da exigência de regularidade fiscal de que trata o subitem 8.5.4.4. do Edital, </w:t>
      </w:r>
      <w:r w:rsidRPr="00983F71">
        <w:rPr>
          <w:rFonts w:ascii="Arial" w:eastAsia="Arial" w:hAnsi="Arial" w:cs="Arial"/>
          <w:b/>
          <w:bCs/>
          <w:color w:val="FF0000"/>
          <w:sz w:val="20"/>
          <w:szCs w:val="20"/>
          <w:u w:val="single"/>
          <w:lang w:eastAsia="pt-BR"/>
        </w:rPr>
        <w:t>além das al</w:t>
      </w:r>
      <w:r w:rsidRPr="00983F71">
        <w:rPr>
          <w:rFonts w:ascii="Segoe UI" w:eastAsia="Segoe UI" w:hAnsi="Segoe UI" w:cs="Segoe UI"/>
          <w:b/>
          <w:bCs/>
          <w:color w:val="FF0000"/>
          <w:sz w:val="20"/>
          <w:szCs w:val="20"/>
          <w:u w:val="single"/>
          <w:lang w:eastAsia="pt-BR"/>
        </w:rPr>
        <w:t>íneas “a” e “b” daquele dispositivo</w:t>
      </w:r>
      <w:r w:rsidRPr="00983F71">
        <w:rPr>
          <w:rFonts w:ascii="Arial" w:eastAsia="Arial" w:hAnsi="Arial" w:cs="Arial"/>
          <w:color w:val="FF0000"/>
          <w:sz w:val="20"/>
          <w:szCs w:val="20"/>
          <w:lang w:eastAsia="pt-BR"/>
        </w:rPr>
        <w:t xml:space="preserve">, será </w:t>
      </w:r>
      <w:r w:rsidRPr="00983F71">
        <w:rPr>
          <w:rFonts w:ascii="Arial" w:eastAsia="Arial" w:hAnsi="Arial" w:cs="Arial"/>
          <w:b/>
          <w:bCs/>
          <w:color w:val="FF0000"/>
          <w:sz w:val="20"/>
          <w:szCs w:val="20"/>
          <w:u w:val="single"/>
          <w:lang w:eastAsia="pt-BR"/>
        </w:rPr>
        <w:t>exigido também</w:t>
      </w:r>
      <w:r w:rsidRPr="00983F71">
        <w:rPr>
          <w:rFonts w:ascii="Arial" w:eastAsia="Arial" w:hAnsi="Arial" w:cs="Arial"/>
          <w:color w:val="FF0000"/>
          <w:sz w:val="20"/>
          <w:szCs w:val="20"/>
          <w:lang w:eastAsia="pt-BR"/>
        </w:rPr>
        <w:t>:</w:t>
      </w:r>
    </w:p>
    <w:p w:rsidR="00983F71" w:rsidRPr="00983F71" w:rsidRDefault="00983F71" w:rsidP="00983F71">
      <w:pPr>
        <w:tabs>
          <w:tab w:val="left" w:pos="567"/>
        </w:tabs>
        <w:spacing w:after="0" w:line="240" w:lineRule="auto"/>
        <w:jc w:val="both"/>
        <w:rPr>
          <w:rFonts w:ascii="Arial" w:eastAsia="Arial" w:hAnsi="Arial" w:cs="Arial"/>
          <w:color w:val="FF0000"/>
          <w:sz w:val="20"/>
          <w:szCs w:val="20"/>
          <w:lang w:eastAsia="pt-BR"/>
        </w:rPr>
      </w:pPr>
    </w:p>
    <w:p w:rsidR="00983F71" w:rsidRPr="00983F71" w:rsidRDefault="00983F71" w:rsidP="00983F71">
      <w:pPr>
        <w:suppressAutoHyphens/>
        <w:spacing w:after="0" w:line="240" w:lineRule="auto"/>
        <w:jc w:val="both"/>
        <w:rPr>
          <w:rFonts w:ascii="Arial" w:eastAsia="Arial" w:hAnsi="Arial" w:cs="Arial"/>
          <w:color w:val="FF0000"/>
          <w:sz w:val="20"/>
          <w:szCs w:val="20"/>
          <w:lang w:eastAsia="ar-SA"/>
        </w:rPr>
      </w:pPr>
      <w:r w:rsidRPr="00983F71">
        <w:rPr>
          <w:rFonts w:ascii="Arial" w:eastAsia="Arial" w:hAnsi="Arial" w:cs="Arial"/>
          <w:color w:val="FF0000"/>
          <w:sz w:val="20"/>
          <w:szCs w:val="20"/>
          <w:lang w:eastAsia="ar-SA"/>
        </w:rPr>
        <w:t>I - certidão emitida pela Fazenda Estadual da sede ou domicílio do licitante que comprove a regularidade de débitos tributários referentes ao Imposto sobre Operações relativas à Circulação de Mercadorias e sobre Prestações de Serviços de Transporte Interestadual, Intermunicipal e de Comunicação - ICMS;</w:t>
      </w:r>
    </w:p>
    <w:p w:rsidR="00983F71" w:rsidRPr="00983F71" w:rsidRDefault="00983F71" w:rsidP="00983F71">
      <w:pPr>
        <w:spacing w:after="0" w:line="240" w:lineRule="auto"/>
        <w:jc w:val="both"/>
        <w:rPr>
          <w:rFonts w:ascii="Arial" w:eastAsia="Arial" w:hAnsi="Arial" w:cs="Arial"/>
          <w:color w:val="FF0000"/>
          <w:sz w:val="20"/>
          <w:szCs w:val="20"/>
          <w:lang w:eastAsia="pt-BR"/>
        </w:rPr>
      </w:pPr>
    </w:p>
    <w:p w:rsidR="00983F71" w:rsidRPr="00983F71" w:rsidRDefault="00983F71" w:rsidP="00983F71">
      <w:pPr>
        <w:suppressAutoHyphens/>
        <w:spacing w:after="0" w:line="240" w:lineRule="auto"/>
        <w:jc w:val="both"/>
        <w:rPr>
          <w:rFonts w:ascii="Arial" w:eastAsia="Arial" w:hAnsi="Arial" w:cs="Arial"/>
          <w:color w:val="FF0000"/>
          <w:sz w:val="20"/>
          <w:szCs w:val="20"/>
          <w:lang w:eastAsia="ar-SA"/>
        </w:rPr>
      </w:pPr>
      <w:r w:rsidRPr="00983F71">
        <w:rPr>
          <w:rFonts w:ascii="Arial" w:eastAsia="Arial" w:hAnsi="Arial" w:cs="Arial"/>
          <w:color w:val="FF0000"/>
          <w:sz w:val="20"/>
          <w:szCs w:val="20"/>
          <w:lang w:eastAsia="ar-SA"/>
        </w:rPr>
        <w:t>(E/OU)</w:t>
      </w:r>
    </w:p>
    <w:p w:rsidR="00983F71" w:rsidRPr="00983F71" w:rsidRDefault="00983F71" w:rsidP="00983F71">
      <w:pPr>
        <w:spacing w:after="0" w:line="240" w:lineRule="auto"/>
        <w:jc w:val="both"/>
        <w:rPr>
          <w:rFonts w:ascii="Arial" w:eastAsia="Arial" w:hAnsi="Arial" w:cs="Arial"/>
          <w:color w:val="FF0000"/>
          <w:sz w:val="20"/>
          <w:szCs w:val="20"/>
          <w:lang w:eastAsia="pt-BR"/>
        </w:rPr>
      </w:pPr>
    </w:p>
    <w:p w:rsidR="00983F71" w:rsidRPr="00983F71" w:rsidRDefault="00983F71" w:rsidP="00983F71">
      <w:pPr>
        <w:suppressAutoHyphens/>
        <w:spacing w:after="0" w:line="240" w:lineRule="auto"/>
        <w:jc w:val="both"/>
        <w:rPr>
          <w:rFonts w:ascii="Arial" w:eastAsia="Arial" w:hAnsi="Arial" w:cs="Arial"/>
          <w:color w:val="FF0000"/>
          <w:sz w:val="20"/>
          <w:szCs w:val="20"/>
          <w:lang w:eastAsia="ar-SA"/>
        </w:rPr>
      </w:pPr>
      <w:r w:rsidRPr="00983F71">
        <w:rPr>
          <w:rFonts w:ascii="Arial" w:eastAsia="Arial" w:hAnsi="Arial" w:cs="Arial"/>
          <w:color w:val="FF0000"/>
          <w:sz w:val="20"/>
          <w:szCs w:val="20"/>
          <w:lang w:eastAsia="ar-SA"/>
        </w:rPr>
        <w:lastRenderedPageBreak/>
        <w:t>II - certidão emitida pela Fazenda Municipal da sede ou domicílio do licitante que comprove a regularidade de débitos tributários referentes ao Imposto sobre Serviços de Qualquer Natureza – ISSQN;</w:t>
      </w:r>
    </w:p>
    <w:p w:rsidR="00983F71" w:rsidRPr="00983F71" w:rsidRDefault="00983F71" w:rsidP="00983F71">
      <w:pPr>
        <w:spacing w:after="0" w:line="240" w:lineRule="auto"/>
        <w:jc w:val="both"/>
        <w:rPr>
          <w:rFonts w:ascii="Arial" w:eastAsia="Arial" w:hAnsi="Arial" w:cs="Arial"/>
          <w:color w:val="FF0000"/>
          <w:sz w:val="20"/>
          <w:szCs w:val="20"/>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983F71">
        <w:rPr>
          <w:rFonts w:ascii="Arial" w:eastAsia="Times New Roman" w:hAnsi="Arial" w:cs="Arial"/>
          <w:b/>
          <w:bCs/>
          <w:sz w:val="20"/>
          <w:szCs w:val="20"/>
          <w:lang w:eastAsia="pt-BR"/>
        </w:rPr>
        <w:t>Orientações práticas:</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983F71">
        <w:rPr>
          <w:rFonts w:ascii="Arial" w:eastAsia="Times New Roman" w:hAnsi="Arial" w:cs="Arial"/>
          <w:sz w:val="20"/>
          <w:szCs w:val="20"/>
          <w:lang w:eastAsia="pt-BR"/>
        </w:rPr>
        <w:t xml:space="preserve">Conforme esclarecido na minuta de edital, em relação a comprovação da regularidade fiscal </w:t>
      </w:r>
      <w:r w:rsidRPr="00983F71">
        <w:rPr>
          <w:rFonts w:ascii="Arial" w:eastAsia="Times New Roman" w:hAnsi="Arial" w:cs="Arial"/>
          <w:b/>
          <w:bCs/>
          <w:sz w:val="20"/>
          <w:szCs w:val="20"/>
          <w:u w:val="single"/>
          <w:lang w:eastAsia="pt-BR"/>
        </w:rPr>
        <w:t>da sede ou domicílio do licitante</w:t>
      </w:r>
      <w:r w:rsidRPr="00983F71">
        <w:rPr>
          <w:rFonts w:ascii="Arial" w:eastAsia="Times New Roman" w:hAnsi="Arial" w:cs="Arial"/>
          <w:sz w:val="20"/>
          <w:szCs w:val="20"/>
          <w:lang w:eastAsia="pt-BR"/>
        </w:rPr>
        <w:t xml:space="preserve">, a Administração Pública Estadual deve fazê-lo apenas quanto aos tributos incidentes </w:t>
      </w:r>
      <w:r w:rsidRPr="00983F71">
        <w:rPr>
          <w:rFonts w:ascii="Arial" w:eastAsia="Times New Roman" w:hAnsi="Arial" w:cs="Arial"/>
          <w:sz w:val="20"/>
          <w:szCs w:val="20"/>
          <w:u w:val="single"/>
          <w:lang w:eastAsia="pt-BR"/>
        </w:rPr>
        <w:t>sobre o objeto da contratação pretendida</w:t>
      </w:r>
      <w:r w:rsidRPr="00983F71">
        <w:rPr>
          <w:rFonts w:ascii="Arial" w:eastAsia="Times New Roman" w:hAnsi="Arial" w:cs="Arial"/>
          <w:sz w:val="20"/>
          <w:szCs w:val="20"/>
          <w:lang w:eastAsia="pt-BR"/>
        </w:rPr>
        <w:t xml:space="preserve">. </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983F71">
        <w:rPr>
          <w:rFonts w:ascii="Arial" w:eastAsia="Times New Roman" w:hAnsi="Arial" w:cs="Arial"/>
          <w:sz w:val="20"/>
          <w:szCs w:val="20"/>
          <w:lang w:eastAsia="pt-BR"/>
        </w:rPr>
        <w:t>Portanto, em reforço às orientações feitas naquela oportunidade, é necessário que a equipe de planejamento indique expressamente no subitem 8.5.4.4 do edital se o licitante deverá comprovar a regularidade fiscal em relação ao ISS, ICMS, ou de ambos, a depender da incidência tributária sobre o objeto da contratação.</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983F71">
        <w:rPr>
          <w:rFonts w:ascii="Arial" w:eastAsia="Times New Roman" w:hAnsi="Arial" w:cs="Arial"/>
          <w:sz w:val="20"/>
          <w:szCs w:val="20"/>
          <w:lang w:eastAsia="pt-BR"/>
        </w:rPr>
        <w:t>Assim, é possível que a equipe de planejamento, caso entenda pertinente, inclua no Termo de Referência as razões pela escolha feita, devendo essa informação ser observada na elaboração do edital, em especial no subitem 8.5.4.4.</w:t>
      </w:r>
    </w:p>
    <w:p w:rsidR="00983F71" w:rsidRPr="00983F71" w:rsidRDefault="00983F71" w:rsidP="00983F71">
      <w:pPr>
        <w:spacing w:after="0" w:line="240" w:lineRule="auto"/>
        <w:jc w:val="both"/>
        <w:rPr>
          <w:rFonts w:ascii="Arial" w:eastAsia="Arial" w:hAnsi="Arial" w:cs="Arial"/>
          <w:color w:val="FF0000"/>
          <w:sz w:val="20"/>
          <w:szCs w:val="20"/>
          <w:lang w:eastAsia="pt-BR"/>
        </w:rPr>
      </w:pPr>
    </w:p>
    <w:p w:rsidR="00983F71" w:rsidRPr="00983F71" w:rsidRDefault="00983F71" w:rsidP="00983F71">
      <w:pPr>
        <w:widowControl w:val="0"/>
        <w:spacing w:after="0" w:line="240" w:lineRule="auto"/>
        <w:jc w:val="both"/>
        <w:rPr>
          <w:rFonts w:ascii="Arial" w:eastAsia="Times New Roman" w:hAnsi="Arial" w:cs="Arial"/>
          <w:b/>
          <w:bCs/>
          <w:color w:val="FF0000"/>
          <w:sz w:val="20"/>
          <w:szCs w:val="20"/>
          <w:lang w:eastAsia="ar-SA"/>
        </w:rPr>
      </w:pPr>
    </w:p>
    <w:p w:rsidR="00983F71" w:rsidRPr="00983F71" w:rsidRDefault="00983F71" w:rsidP="00983F71">
      <w:pPr>
        <w:spacing w:after="0" w:line="240" w:lineRule="auto"/>
        <w:jc w:val="both"/>
        <w:rPr>
          <w:rFonts w:ascii="Arial" w:eastAsia="Arial" w:hAnsi="Arial" w:cs="Arial"/>
          <w:color w:val="FF0000"/>
          <w:sz w:val="20"/>
          <w:szCs w:val="20"/>
          <w:lang w:eastAsia="pt-BR"/>
        </w:rPr>
      </w:pPr>
      <w:r w:rsidRPr="00983F71">
        <w:rPr>
          <w:rFonts w:ascii="Arial" w:eastAsia="Times New Roman" w:hAnsi="Arial" w:cs="Arial"/>
          <w:b/>
          <w:bCs/>
          <w:color w:val="FF0000"/>
          <w:sz w:val="20"/>
          <w:szCs w:val="20"/>
          <w:lang w:eastAsia="pt-BR"/>
        </w:rPr>
        <w:t xml:space="preserve">10.2.6.  </w:t>
      </w:r>
      <w:r w:rsidRPr="00983F71">
        <w:rPr>
          <w:rFonts w:ascii="Arial" w:eastAsia="Arial" w:hAnsi="Arial" w:cs="Arial"/>
          <w:color w:val="FF0000"/>
          <w:sz w:val="20"/>
          <w:szCs w:val="20"/>
          <w:lang w:eastAsia="pt-BR"/>
        </w:rPr>
        <w:t xml:space="preserve">Como </w:t>
      </w:r>
      <w:r w:rsidRPr="00983F71">
        <w:rPr>
          <w:rFonts w:ascii="Arial" w:eastAsia="Arial" w:hAnsi="Arial" w:cs="Arial"/>
          <w:b/>
          <w:bCs/>
          <w:color w:val="FF0000"/>
          <w:sz w:val="20"/>
          <w:szCs w:val="20"/>
          <w:lang w:eastAsia="pt-BR"/>
        </w:rPr>
        <w:t xml:space="preserve">qualificação econômico-financeira </w:t>
      </w:r>
      <w:r w:rsidRPr="00983F71">
        <w:rPr>
          <w:rFonts w:ascii="Arial" w:eastAsia="Arial" w:hAnsi="Arial" w:cs="Arial"/>
          <w:color w:val="FF0000"/>
          <w:sz w:val="20"/>
          <w:szCs w:val="20"/>
          <w:lang w:eastAsia="pt-BR"/>
        </w:rPr>
        <w:t>será exigido:</w:t>
      </w:r>
    </w:p>
    <w:p w:rsidR="00983F71" w:rsidRPr="00983F71" w:rsidRDefault="00983F71" w:rsidP="00983F71">
      <w:pPr>
        <w:spacing w:after="0" w:line="240" w:lineRule="auto"/>
        <w:jc w:val="both"/>
        <w:rPr>
          <w:rFonts w:ascii="Arial" w:eastAsia="Arial" w:hAnsi="Arial" w:cs="Arial"/>
          <w:color w:val="FF0000"/>
          <w:sz w:val="20"/>
          <w:szCs w:val="20"/>
          <w:lang w:eastAsia="pt-BR"/>
        </w:rPr>
      </w:pPr>
    </w:p>
    <w:p w:rsidR="00983F71" w:rsidRPr="00983F71" w:rsidRDefault="00983F71" w:rsidP="00983F71">
      <w:pPr>
        <w:spacing w:after="0" w:line="240" w:lineRule="auto"/>
        <w:jc w:val="both"/>
        <w:rPr>
          <w:rFonts w:ascii="Arial" w:eastAsia="Arial" w:hAnsi="Arial" w:cs="Arial"/>
          <w:color w:val="FF0000"/>
          <w:sz w:val="20"/>
          <w:szCs w:val="20"/>
          <w:lang w:eastAsia="pt-BR"/>
        </w:rPr>
      </w:pPr>
      <w:r w:rsidRPr="00983F71">
        <w:rPr>
          <w:rFonts w:ascii="Arial" w:eastAsia="Arial" w:hAnsi="Arial" w:cs="Arial"/>
          <w:b/>
          <w:bCs/>
          <w:color w:val="FF0000"/>
          <w:sz w:val="20"/>
          <w:szCs w:val="20"/>
          <w:lang w:eastAsia="pt-BR"/>
        </w:rPr>
        <w:t>(...)</w:t>
      </w:r>
    </w:p>
    <w:p w:rsidR="00983F71" w:rsidRPr="00983F71" w:rsidRDefault="00983F71" w:rsidP="00983F71">
      <w:pPr>
        <w:spacing w:after="0" w:line="240" w:lineRule="auto"/>
        <w:jc w:val="both"/>
        <w:rPr>
          <w:rFonts w:ascii="Arial" w:eastAsia="Arial" w:hAnsi="Arial" w:cs="Arial"/>
          <w:color w:val="FF0000"/>
          <w:sz w:val="20"/>
          <w:szCs w:val="20"/>
          <w:lang w:eastAsia="pt-BR"/>
        </w:rPr>
      </w:pPr>
    </w:p>
    <w:p w:rsidR="00983F71" w:rsidRPr="00983F71" w:rsidRDefault="00983F71" w:rsidP="00983F71">
      <w:pPr>
        <w:spacing w:after="0" w:line="240" w:lineRule="auto"/>
        <w:jc w:val="both"/>
        <w:rPr>
          <w:rFonts w:ascii="Arial" w:eastAsia="Times New Roman" w:hAnsi="Arial" w:cs="Arial"/>
          <w:sz w:val="20"/>
          <w:szCs w:val="20"/>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983F71">
        <w:rPr>
          <w:rFonts w:ascii="Arial" w:eastAsia="Times New Roman" w:hAnsi="Arial" w:cs="Arial"/>
          <w:b/>
          <w:bCs/>
          <w:sz w:val="20"/>
          <w:szCs w:val="20"/>
          <w:lang w:eastAsia="pt-BR"/>
        </w:rPr>
        <w:t>Orientações práticas:</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983F71">
        <w:rPr>
          <w:rFonts w:ascii="Arial" w:eastAsia="Times New Roman" w:hAnsi="Arial" w:cs="Arial"/>
          <w:sz w:val="20"/>
          <w:szCs w:val="20"/>
          <w:lang w:eastAsia="pt-BR"/>
        </w:rPr>
        <w:t xml:space="preserve">Quando exigida a comprovação da boa situação financeira do licitante, a equipe de planejamento responsável pela elaboração do termo de referência </w:t>
      </w:r>
      <w:r w:rsidRPr="00983F71">
        <w:rPr>
          <w:rFonts w:ascii="Arial" w:eastAsia="Times New Roman" w:hAnsi="Arial" w:cs="Arial"/>
          <w:b/>
          <w:bCs/>
          <w:sz w:val="20"/>
          <w:szCs w:val="20"/>
          <w:lang w:eastAsia="pt-BR"/>
        </w:rPr>
        <w:t>d</w:t>
      </w:r>
      <w:r w:rsidRPr="00983F71">
        <w:rPr>
          <w:rFonts w:ascii="Arial" w:eastAsia="Times New Roman" w:hAnsi="Arial" w:cs="Arial"/>
          <w:b/>
          <w:bCs/>
          <w:sz w:val="20"/>
          <w:szCs w:val="20"/>
          <w:u w:val="single"/>
          <w:lang w:eastAsia="pt-BR"/>
        </w:rPr>
        <w:t>everá justificar</w:t>
      </w:r>
      <w:r w:rsidRPr="00983F71">
        <w:rPr>
          <w:rFonts w:ascii="Arial" w:eastAsia="Times New Roman" w:hAnsi="Arial" w:cs="Arial"/>
          <w:sz w:val="20"/>
          <w:szCs w:val="20"/>
          <w:u w:val="single"/>
          <w:lang w:eastAsia="pt-BR"/>
        </w:rPr>
        <w:t xml:space="preserve"> essa necessidade e expor </w:t>
      </w:r>
      <w:r w:rsidRPr="00983F71">
        <w:rPr>
          <w:rFonts w:ascii="Arial" w:eastAsia="Times New Roman" w:hAnsi="Arial" w:cs="Arial"/>
          <w:b/>
          <w:bCs/>
          <w:sz w:val="20"/>
          <w:szCs w:val="20"/>
          <w:u w:val="single"/>
          <w:lang w:eastAsia="pt-BR"/>
        </w:rPr>
        <w:t>as razões da escolha do índice</w:t>
      </w:r>
      <w:r w:rsidRPr="00983F71">
        <w:rPr>
          <w:rFonts w:ascii="Arial" w:eastAsia="Times New Roman" w:hAnsi="Arial" w:cs="Arial"/>
          <w:sz w:val="20"/>
          <w:szCs w:val="20"/>
          <w:u w:val="single"/>
          <w:lang w:eastAsia="pt-BR"/>
        </w:rPr>
        <w:t xml:space="preserve"> adotado como critério para habilitação econômico-financeira</w:t>
      </w:r>
      <w:r w:rsidRPr="00983F71">
        <w:rPr>
          <w:rFonts w:ascii="Arial" w:eastAsia="Times New Roman" w:hAnsi="Arial" w:cs="Arial"/>
          <w:sz w:val="20"/>
          <w:szCs w:val="20"/>
          <w:lang w:eastAsia="pt-BR"/>
        </w:rPr>
        <w:t>.</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983F71">
        <w:rPr>
          <w:rFonts w:ascii="Arial" w:eastAsia="Times New Roman" w:hAnsi="Arial" w:cs="Arial"/>
          <w:sz w:val="20"/>
          <w:szCs w:val="20"/>
          <w:lang w:eastAsia="pt-BR"/>
        </w:rPr>
        <w:t xml:space="preserve">Cumpre esclarecer que </w:t>
      </w:r>
      <w:r w:rsidRPr="00983F71">
        <w:rPr>
          <w:rFonts w:ascii="Arial" w:eastAsia="Times New Roman" w:hAnsi="Arial" w:cs="Arial"/>
          <w:sz w:val="20"/>
          <w:szCs w:val="20"/>
          <w:u w:val="single"/>
          <w:lang w:eastAsia="pt-BR"/>
        </w:rPr>
        <w:t xml:space="preserve">na minuta de edital consta uma </w:t>
      </w:r>
      <w:r w:rsidRPr="00983F71">
        <w:rPr>
          <w:rFonts w:ascii="Arial" w:eastAsia="Times New Roman" w:hAnsi="Arial" w:cs="Arial"/>
          <w:b/>
          <w:bCs/>
          <w:sz w:val="20"/>
          <w:szCs w:val="20"/>
          <w:u w:val="single"/>
          <w:lang w:eastAsia="pt-BR"/>
        </w:rPr>
        <w:t xml:space="preserve">sugestão </w:t>
      </w:r>
      <w:r w:rsidRPr="00983F71">
        <w:rPr>
          <w:rFonts w:ascii="Arial" w:eastAsia="Times New Roman" w:hAnsi="Arial" w:cs="Arial"/>
          <w:sz w:val="20"/>
          <w:szCs w:val="20"/>
          <w:u w:val="single"/>
          <w:lang w:eastAsia="pt-BR"/>
        </w:rPr>
        <w:t>de índice a ser utilizado para fins de qualificação econômico-financeira, o que n</w:t>
      </w:r>
      <w:r w:rsidRPr="00983F71">
        <w:rPr>
          <w:rFonts w:ascii="Arial" w:eastAsia="Times New Roman" w:hAnsi="Arial" w:cs="Arial"/>
          <w:b/>
          <w:bCs/>
          <w:sz w:val="20"/>
          <w:szCs w:val="20"/>
          <w:u w:val="single"/>
          <w:lang w:eastAsia="pt-BR"/>
        </w:rPr>
        <w:t>ão afasta a necessidade de se apresentar a justificativa para a sua utilização, nem mesmo impede a escolha de índice diverso</w:t>
      </w:r>
      <w:r w:rsidRPr="00983F71">
        <w:rPr>
          <w:rFonts w:ascii="Arial" w:eastAsia="Times New Roman" w:hAnsi="Arial" w:cs="Arial"/>
          <w:sz w:val="20"/>
          <w:szCs w:val="20"/>
          <w:lang w:eastAsia="pt-BR"/>
        </w:rPr>
        <w:t>.</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983F71">
        <w:rPr>
          <w:rFonts w:ascii="Arial" w:eastAsia="Times New Roman" w:hAnsi="Arial" w:cs="Arial"/>
          <w:sz w:val="20"/>
          <w:szCs w:val="20"/>
          <w:lang w:eastAsia="pt-BR"/>
        </w:rPr>
        <w:t>Ademais, é recomendável a previsão de outro critério para a comprovação da boa situação financeira, caso a licitante não atinja o índice previsto como critério para habilitação, a fim de evitar possível restrição ao caráter competitivo do certame.</w:t>
      </w:r>
    </w:p>
    <w:p w:rsidR="00983F71" w:rsidRPr="00983F71" w:rsidRDefault="00983F71" w:rsidP="00983F71">
      <w:pPr>
        <w:spacing w:after="0" w:line="240" w:lineRule="auto"/>
        <w:jc w:val="both"/>
        <w:rPr>
          <w:rFonts w:ascii="Arial" w:eastAsia="Arial" w:hAnsi="Arial" w:cs="Arial"/>
          <w:color w:val="FF0000"/>
          <w:sz w:val="20"/>
          <w:szCs w:val="20"/>
          <w:lang w:eastAsia="pt-BR"/>
        </w:rPr>
      </w:pPr>
    </w:p>
    <w:p w:rsidR="00983F71" w:rsidRPr="00983F71" w:rsidRDefault="00983F71" w:rsidP="00983F71">
      <w:pPr>
        <w:spacing w:after="0" w:line="240" w:lineRule="auto"/>
        <w:jc w:val="both"/>
        <w:rPr>
          <w:rFonts w:ascii="Arial" w:eastAsia="Calibri" w:hAnsi="Arial" w:cs="Arial"/>
          <w:b/>
          <w:color w:val="FF0000"/>
          <w:sz w:val="20"/>
          <w:szCs w:val="20"/>
        </w:rPr>
      </w:pPr>
    </w:p>
    <w:p w:rsidR="00983F71" w:rsidRPr="00983F71" w:rsidRDefault="00983F71" w:rsidP="00983F71">
      <w:pPr>
        <w:spacing w:after="0" w:line="240" w:lineRule="auto"/>
        <w:jc w:val="both"/>
        <w:rPr>
          <w:rFonts w:ascii="Arial" w:eastAsia="Calibri" w:hAnsi="Arial" w:cs="Arial"/>
          <w:b/>
          <w:color w:val="FF0000"/>
          <w:sz w:val="20"/>
          <w:szCs w:val="20"/>
        </w:rPr>
      </w:pPr>
      <w:r w:rsidRPr="00983F71">
        <w:rPr>
          <w:rFonts w:ascii="Arial" w:eastAsia="Calibri" w:hAnsi="Arial" w:cs="Arial"/>
          <w:b/>
          <w:color w:val="FF0000"/>
          <w:sz w:val="20"/>
          <w:szCs w:val="20"/>
        </w:rPr>
        <w:t>10.3. VISTORIA PARA A LICITAÇÃO</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20"/>
          <w:lang w:eastAsia="ar-SA"/>
        </w:rPr>
      </w:pPr>
      <w:r w:rsidRPr="00983F71">
        <w:rPr>
          <w:rFonts w:ascii="Arial" w:eastAsia="Times New Roman" w:hAnsi="Arial" w:cs="Arial"/>
          <w:b/>
          <w:sz w:val="20"/>
          <w:szCs w:val="20"/>
          <w:lang w:eastAsia="ar-SA"/>
        </w:rPr>
        <w:t>Nota explicativa</w:t>
      </w:r>
      <w:r w:rsidRPr="00983F71">
        <w:rPr>
          <w:rFonts w:ascii="Arial" w:eastAsia="Times New Roman" w:hAnsi="Arial" w:cs="Arial"/>
          <w:sz w:val="20"/>
          <w:szCs w:val="20"/>
          <w:lang w:eastAsia="ar-SA"/>
        </w:rPr>
        <w:t xml:space="preserve">: A realização de vistoria técnica encontra fundamento no art. 30, III, da Lei n. 8.666/1993, razão pela qual, regra geral, possui respaldo legal para sua realização. Ocorre que, citada exigência pode acabar por limitar o universo dos competidores, podendo acarretar ônus excessivo aos interessados que se encontrem em localidade distinta daquela estipulada para o cumprimento da vistoria, ferindo o postulado da isonomia. Dessa maneira, sua exigência deve ser </w:t>
      </w:r>
      <w:r w:rsidRPr="00983F71">
        <w:rPr>
          <w:rFonts w:ascii="Arial" w:eastAsia="Times New Roman" w:hAnsi="Arial" w:cs="Arial"/>
          <w:b/>
          <w:bCs/>
          <w:sz w:val="20"/>
          <w:szCs w:val="20"/>
          <w:u w:val="single"/>
          <w:lang w:eastAsia="ar-SA"/>
        </w:rPr>
        <w:t>devidamente fundamentada</w:t>
      </w:r>
      <w:r w:rsidRPr="00983F71">
        <w:rPr>
          <w:rFonts w:ascii="Arial" w:eastAsia="Times New Roman" w:hAnsi="Arial" w:cs="Arial"/>
          <w:sz w:val="20"/>
          <w:szCs w:val="20"/>
          <w:lang w:eastAsia="ar-SA"/>
        </w:rPr>
        <w:t xml:space="preserve"> em razão da sua indispensabilidade para a execução do objeto.</w:t>
      </w: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14"/>
          <w:lang w:eastAsia="ar-SA"/>
        </w:rPr>
      </w:pPr>
      <w:r w:rsidRPr="00983F71">
        <w:rPr>
          <w:rFonts w:ascii="Arial" w:eastAsia="Times New Roman" w:hAnsi="Arial" w:cs="Arial"/>
          <w:sz w:val="20"/>
          <w:szCs w:val="14"/>
          <w:lang w:eastAsia="ar-SA"/>
        </w:rPr>
        <w:t>Além disso, para evitar a ocorrência de restrição à competitividade diante de um ônus excessivo imposto aos licitantes, a jurisprudência do TCU sedimentou-se no sentido de facultar a realização da visita técnica e exigir, para o caso de sua não realização, a emissão de declaração da licitante de que está ciente das condições de execução dos serviços (Ac. 2.150/08, 1599/10, 2266/11, 2776/11, 110/2012, todos do Plenário).</w:t>
      </w: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14"/>
          <w:lang w:eastAsia="ar-SA"/>
        </w:rPr>
      </w:pPr>
      <w:r w:rsidRPr="00983F71">
        <w:rPr>
          <w:rFonts w:ascii="Arial" w:eastAsia="Times New Roman" w:hAnsi="Arial" w:cs="Arial"/>
          <w:sz w:val="20"/>
          <w:szCs w:val="14"/>
          <w:lang w:eastAsia="ar-SA"/>
        </w:rPr>
        <w:t>Vale ressaltar que recentemente o TCU proferiu decisão na qual considerou a visita técnica como um direito subjetivo da licitante e não uma obrigação que possa lhe ser imposta pela Administração (Ac. 170/18-P).</w:t>
      </w:r>
    </w:p>
    <w:p w:rsidR="00983F71" w:rsidRPr="00983F71" w:rsidRDefault="00983F71" w:rsidP="00983F7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14"/>
          <w:lang w:eastAsia="ar-SA"/>
        </w:rPr>
      </w:pPr>
      <w:r w:rsidRPr="00983F71">
        <w:rPr>
          <w:rFonts w:ascii="Arial" w:eastAsia="Times New Roman" w:hAnsi="Arial" w:cs="Arial"/>
          <w:sz w:val="20"/>
          <w:szCs w:val="20"/>
          <w:lang w:eastAsia="ar-SA"/>
        </w:rPr>
        <w:t>Como forma de auxiliar a elaboração dessa exigência, apresentamos a seguir modelos de cláusulas que poderão ser adotadas pela equipe de planejamento.</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983F71">
        <w:rPr>
          <w:rFonts w:ascii="Arial" w:eastAsia="Times New Roman" w:hAnsi="Arial" w:cs="Arial"/>
          <w:b/>
          <w:color w:val="FF0000"/>
          <w:sz w:val="20"/>
          <w:szCs w:val="14"/>
          <w:lang w:eastAsia="pt-BR"/>
        </w:rPr>
        <w:lastRenderedPageBreak/>
        <w:t>10.3.1.</w:t>
      </w:r>
      <w:r w:rsidRPr="00983F71">
        <w:rPr>
          <w:rFonts w:ascii="Arial" w:eastAsia="Times New Roman" w:hAnsi="Arial" w:cs="Arial"/>
          <w:bCs/>
          <w:color w:val="FF0000"/>
          <w:sz w:val="20"/>
          <w:szCs w:val="14"/>
          <w:lang w:eastAsia="pt-BR"/>
        </w:rPr>
        <w:t xml:space="preserve"> A licitante deverá apresentar “Certificado de Visita Técnica”, assinado pelo servidor </w:t>
      </w:r>
      <w:r w:rsidRPr="00983F71">
        <w:rPr>
          <w:rFonts w:ascii="Arial" w:eastAsia="Times New Roman" w:hAnsi="Arial" w:cs="Arial"/>
          <w:bCs/>
          <w:color w:val="FF0000"/>
          <w:sz w:val="20"/>
          <w:szCs w:val="14"/>
          <w:highlight w:val="yellow"/>
          <w:lang w:eastAsia="pt-BR"/>
        </w:rPr>
        <w:t>..............</w:t>
      </w:r>
      <w:r w:rsidRPr="00983F71">
        <w:rPr>
          <w:rFonts w:ascii="Arial" w:eastAsia="Times New Roman" w:hAnsi="Arial" w:cs="Arial"/>
          <w:bCs/>
          <w:color w:val="FF0000"/>
          <w:sz w:val="20"/>
          <w:szCs w:val="14"/>
          <w:lang w:eastAsia="pt-BR"/>
        </w:rPr>
        <w:t xml:space="preserve">, conforme o modelo constante do Anexo </w:t>
      </w:r>
      <w:r w:rsidRPr="00983F71">
        <w:rPr>
          <w:rFonts w:ascii="Arial" w:eastAsia="Times New Roman" w:hAnsi="Arial" w:cs="Arial"/>
          <w:bCs/>
          <w:color w:val="FF0000"/>
          <w:sz w:val="20"/>
          <w:szCs w:val="14"/>
          <w:highlight w:val="yellow"/>
          <w:lang w:eastAsia="pt-BR"/>
        </w:rPr>
        <w:t>......</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983F71">
        <w:rPr>
          <w:rFonts w:ascii="Arial" w:eastAsia="Times New Roman" w:hAnsi="Arial" w:cs="Arial"/>
          <w:b/>
          <w:color w:val="FF0000"/>
          <w:sz w:val="20"/>
          <w:szCs w:val="14"/>
          <w:lang w:eastAsia="pt-BR"/>
        </w:rPr>
        <w:t>10.3.1.1.</w:t>
      </w:r>
      <w:r w:rsidRPr="00983F71">
        <w:rPr>
          <w:rFonts w:ascii="Arial" w:eastAsia="Times New Roman" w:hAnsi="Arial" w:cs="Arial"/>
          <w:bCs/>
          <w:color w:val="FF0000"/>
          <w:sz w:val="20"/>
          <w:szCs w:val="14"/>
          <w:lang w:eastAsia="pt-BR"/>
        </w:rPr>
        <w:t xml:space="preserve"> Poderão ser feitas tantas visitas técnicas quantas cada licitante considerar necessário. Cada visita deverá ser agendada por e-mail </w:t>
      </w:r>
      <w:r w:rsidRPr="00983F71">
        <w:rPr>
          <w:rFonts w:ascii="Arial" w:eastAsia="Times New Roman" w:hAnsi="Arial" w:cs="Arial"/>
          <w:bCs/>
          <w:color w:val="FF0000"/>
          <w:sz w:val="20"/>
          <w:szCs w:val="14"/>
          <w:highlight w:val="yellow"/>
          <w:lang w:eastAsia="pt-BR"/>
        </w:rPr>
        <w:t>..........</w:t>
      </w:r>
      <w:r w:rsidRPr="00983F71">
        <w:rPr>
          <w:rFonts w:ascii="Arial" w:eastAsia="Times New Roman" w:hAnsi="Arial" w:cs="Arial"/>
          <w:bCs/>
          <w:color w:val="FF0000"/>
          <w:sz w:val="20"/>
          <w:szCs w:val="14"/>
          <w:lang w:eastAsia="pt-BR"/>
        </w:rPr>
        <w:t xml:space="preserve"> ou pelo telefone </w:t>
      </w:r>
      <w:r w:rsidRPr="00983F71">
        <w:rPr>
          <w:rFonts w:ascii="Arial" w:eastAsia="Times New Roman" w:hAnsi="Arial" w:cs="Arial"/>
          <w:bCs/>
          <w:color w:val="FF0000"/>
          <w:sz w:val="20"/>
          <w:szCs w:val="14"/>
          <w:highlight w:val="yellow"/>
          <w:lang w:eastAsia="pt-BR"/>
        </w:rPr>
        <w:t>................</w:t>
      </w:r>
      <w:r w:rsidRPr="00983F71">
        <w:rPr>
          <w:rFonts w:ascii="Arial" w:eastAsia="Times New Roman" w:hAnsi="Arial" w:cs="Arial"/>
          <w:bCs/>
          <w:color w:val="FF0000"/>
          <w:sz w:val="20"/>
          <w:szCs w:val="14"/>
          <w:lang w:eastAsia="pt-BR"/>
        </w:rPr>
        <w:t xml:space="preserve"> e poderá ser realizada até o dia imediatamente anterior à sessão pública, no período das </w:t>
      </w:r>
      <w:r w:rsidRPr="00983F71">
        <w:rPr>
          <w:rFonts w:ascii="Arial" w:eastAsia="Times New Roman" w:hAnsi="Arial" w:cs="Arial"/>
          <w:bCs/>
          <w:color w:val="FF0000"/>
          <w:sz w:val="20"/>
          <w:szCs w:val="14"/>
          <w:highlight w:val="yellow"/>
          <w:lang w:eastAsia="pt-BR"/>
        </w:rPr>
        <w:t>.....</w:t>
      </w:r>
      <w:r w:rsidRPr="00983F71">
        <w:rPr>
          <w:rFonts w:ascii="Arial" w:eastAsia="Times New Roman" w:hAnsi="Arial" w:cs="Arial"/>
          <w:bCs/>
          <w:color w:val="FF0000"/>
          <w:sz w:val="20"/>
          <w:szCs w:val="14"/>
          <w:lang w:eastAsia="pt-BR"/>
        </w:rPr>
        <w:t xml:space="preserve"> às </w:t>
      </w:r>
      <w:r w:rsidRPr="00983F71">
        <w:rPr>
          <w:rFonts w:ascii="Arial" w:eastAsia="Times New Roman" w:hAnsi="Arial" w:cs="Arial"/>
          <w:bCs/>
          <w:color w:val="FF0000"/>
          <w:sz w:val="20"/>
          <w:szCs w:val="14"/>
          <w:highlight w:val="yellow"/>
          <w:lang w:eastAsia="pt-BR"/>
        </w:rPr>
        <w:t>......</w:t>
      </w:r>
      <w:r w:rsidRPr="00983F71">
        <w:rPr>
          <w:rFonts w:ascii="Arial" w:eastAsia="Times New Roman" w:hAnsi="Arial" w:cs="Arial"/>
          <w:bCs/>
          <w:color w:val="FF0000"/>
          <w:sz w:val="20"/>
          <w:szCs w:val="14"/>
          <w:lang w:eastAsia="pt-BR"/>
        </w:rPr>
        <w:t xml:space="preserve"> horas.</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983F71">
        <w:rPr>
          <w:rFonts w:ascii="Arial" w:eastAsia="Times New Roman" w:hAnsi="Arial" w:cs="Arial"/>
          <w:b/>
          <w:color w:val="FF0000"/>
          <w:sz w:val="20"/>
          <w:szCs w:val="14"/>
          <w:lang w:eastAsia="pt-BR"/>
        </w:rPr>
        <w:t>10.3.1.1.1.</w:t>
      </w:r>
      <w:r w:rsidRPr="00983F71">
        <w:rPr>
          <w:rFonts w:ascii="Arial" w:eastAsia="Times New Roman" w:hAnsi="Arial" w:cs="Arial"/>
          <w:bCs/>
          <w:color w:val="FF0000"/>
          <w:sz w:val="20"/>
          <w:szCs w:val="14"/>
          <w:lang w:eastAsia="pt-BR"/>
        </w:rPr>
        <w:t xml:space="preserve"> Não poderão ser agendadas visitas técnicas simultâneas, para mais de um licitante no mesmo dia e horário.</w:t>
      </w: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983F71" w:rsidRPr="00983F71" w:rsidRDefault="00983F71" w:rsidP="00983F7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983F71">
        <w:rPr>
          <w:rFonts w:ascii="Arial" w:eastAsia="Times New Roman" w:hAnsi="Arial" w:cs="Arial"/>
          <w:b/>
          <w:color w:val="FF0000"/>
          <w:sz w:val="20"/>
          <w:szCs w:val="14"/>
          <w:lang w:eastAsia="pt-BR"/>
        </w:rPr>
        <w:t>10.3.1.2.</w:t>
      </w:r>
      <w:r w:rsidRPr="00983F71">
        <w:rPr>
          <w:rFonts w:ascii="Arial" w:eastAsia="Times New Roman" w:hAnsi="Arial" w:cs="Arial"/>
          <w:bCs/>
          <w:color w:val="FF0000"/>
          <w:sz w:val="20"/>
          <w:szCs w:val="14"/>
          <w:lang w:eastAsia="pt-BR"/>
        </w:rPr>
        <w:t xml:space="preserve"> A licitante que optar pela não realização da visita técnica deverá apresentar declaração afirmando que tinha ciência da possibilidade de fazê-la, mas que, ciente dos riscos e consequências envolvidos, optou por formular a proposta sem realizar a visita técnica que lhe havia sido facultada, conforme o modelo constante do Anexo </w:t>
      </w:r>
      <w:r w:rsidRPr="00983F71">
        <w:rPr>
          <w:rFonts w:ascii="Arial" w:eastAsia="Times New Roman" w:hAnsi="Arial" w:cs="Arial"/>
          <w:bCs/>
          <w:color w:val="FF0000"/>
          <w:sz w:val="20"/>
          <w:szCs w:val="14"/>
          <w:highlight w:val="yellow"/>
          <w:lang w:eastAsia="pt-BR"/>
        </w:rPr>
        <w:t>............</w:t>
      </w:r>
    </w:p>
    <w:p w:rsidR="00983F71" w:rsidRPr="00983F71" w:rsidRDefault="00983F71" w:rsidP="00983F71">
      <w:pPr>
        <w:spacing w:after="0" w:line="240" w:lineRule="auto"/>
        <w:jc w:val="both"/>
        <w:rPr>
          <w:rFonts w:ascii="Arial" w:eastAsia="Calibri" w:hAnsi="Arial" w:cs="Arial"/>
          <w:b/>
          <w:color w:val="FF0000"/>
          <w:sz w:val="20"/>
          <w:szCs w:val="20"/>
        </w:rPr>
      </w:pPr>
    </w:p>
    <w:p w:rsidR="00983F71" w:rsidRPr="00983F71" w:rsidRDefault="00983F71" w:rsidP="00983F71">
      <w:pPr>
        <w:spacing w:after="0" w:line="240" w:lineRule="auto"/>
        <w:jc w:val="both"/>
        <w:rPr>
          <w:rFonts w:ascii="Arial" w:eastAsia="Calibri" w:hAnsi="Arial" w:cs="Arial"/>
          <w:b/>
          <w:color w:val="FF0000"/>
          <w:sz w:val="20"/>
          <w:szCs w:val="20"/>
        </w:rPr>
      </w:pPr>
    </w:p>
    <w:p w:rsidR="00983F71" w:rsidRPr="00983F71" w:rsidRDefault="00983F71" w:rsidP="00983F71">
      <w:pPr>
        <w:spacing w:after="0" w:line="240" w:lineRule="auto"/>
        <w:jc w:val="both"/>
        <w:rPr>
          <w:rFonts w:ascii="Arial" w:eastAsia="Calibri" w:hAnsi="Arial" w:cs="Arial"/>
          <w:b/>
          <w:bCs/>
          <w:color w:val="FF0000"/>
          <w:sz w:val="20"/>
          <w:szCs w:val="20"/>
        </w:rPr>
      </w:pPr>
      <w:r w:rsidRPr="00983F71">
        <w:rPr>
          <w:rFonts w:ascii="Arial" w:eastAsia="Calibri" w:hAnsi="Arial" w:cs="Arial"/>
          <w:b/>
          <w:bCs/>
          <w:color w:val="FF0000"/>
          <w:sz w:val="20"/>
          <w:szCs w:val="20"/>
        </w:rPr>
        <w:t>10.4. OBRIGAÇÕES ESPECÍFICAS DA CONTRATANTE</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Calibri" w:hAnsi="Arial" w:cs="Arial"/>
          <w:b/>
          <w:sz w:val="20"/>
          <w:szCs w:val="20"/>
        </w:rPr>
      </w:pPr>
      <w:r w:rsidRPr="00983F71">
        <w:rPr>
          <w:rFonts w:ascii="Arial" w:eastAsia="Calibri" w:hAnsi="Arial" w:cs="Arial"/>
          <w:b/>
          <w:bCs/>
          <w:sz w:val="20"/>
          <w:szCs w:val="20"/>
        </w:rPr>
        <w:t>Nota explicativa</w:t>
      </w:r>
      <w:r w:rsidRPr="00983F71">
        <w:rPr>
          <w:rFonts w:ascii="Arial" w:eastAsia="Calibri" w:hAnsi="Arial" w:cs="Arial"/>
          <w:sz w:val="20"/>
          <w:szCs w:val="20"/>
        </w:rPr>
        <w:t>: Detalhar as obrigações da contratante que extrapolem as cláusulas-padrão constantes na minuta do contrato.</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Calibri" w:hAnsi="Arial" w:cs="Arial"/>
          <w:b/>
          <w:bCs/>
          <w:color w:val="FF0000"/>
          <w:sz w:val="20"/>
          <w:szCs w:val="20"/>
        </w:rPr>
      </w:pPr>
      <w:r w:rsidRPr="00983F71">
        <w:rPr>
          <w:rFonts w:ascii="Arial" w:eastAsia="Calibri" w:hAnsi="Arial" w:cs="Arial"/>
          <w:b/>
          <w:bCs/>
          <w:color w:val="FF0000"/>
          <w:sz w:val="20"/>
          <w:szCs w:val="20"/>
        </w:rPr>
        <w:t>10.5. OBRIGAÇÕES ESPECÍFICAS DA CONTRATADA</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Calibri" w:hAnsi="Arial" w:cs="Arial"/>
          <w:b/>
          <w:sz w:val="20"/>
          <w:szCs w:val="20"/>
        </w:rPr>
      </w:pPr>
      <w:r w:rsidRPr="00983F71">
        <w:rPr>
          <w:rFonts w:ascii="Arial" w:eastAsia="Calibri" w:hAnsi="Arial" w:cs="Arial"/>
          <w:b/>
          <w:bCs/>
          <w:sz w:val="20"/>
          <w:szCs w:val="20"/>
        </w:rPr>
        <w:t>Nota explicativa</w:t>
      </w:r>
      <w:r w:rsidRPr="00983F71">
        <w:rPr>
          <w:rFonts w:ascii="Arial" w:eastAsia="Calibri" w:hAnsi="Arial" w:cs="Arial"/>
          <w:sz w:val="20"/>
          <w:szCs w:val="20"/>
        </w:rPr>
        <w:t>: Detalhar as obrigações da contratada que extrapolem as cláusulas-padrão constantes na minuta do contrato.</w:t>
      </w:r>
    </w:p>
    <w:p w:rsidR="00983F71" w:rsidRPr="00983F71" w:rsidRDefault="00983F71" w:rsidP="00983F71">
      <w:pPr>
        <w:spacing w:after="0" w:line="240" w:lineRule="auto"/>
        <w:rPr>
          <w:rFonts w:ascii="Arial" w:eastAsia="Calibri" w:hAnsi="Arial" w:cs="Arial"/>
          <w:b/>
          <w:sz w:val="20"/>
          <w:szCs w:val="20"/>
        </w:rPr>
      </w:pPr>
    </w:p>
    <w:p w:rsidR="00983F71" w:rsidRPr="00983F71" w:rsidRDefault="00983F71" w:rsidP="00983F71">
      <w:pPr>
        <w:spacing w:after="0" w:line="240" w:lineRule="auto"/>
        <w:rPr>
          <w:rFonts w:ascii="Arial" w:eastAsia="Calibri" w:hAnsi="Arial" w:cs="Arial"/>
          <w:bCs/>
          <w:color w:val="FF0000"/>
          <w:sz w:val="20"/>
          <w:szCs w:val="20"/>
        </w:rPr>
      </w:pPr>
      <w:r w:rsidRPr="00983F71">
        <w:rPr>
          <w:rFonts w:ascii="Arial" w:eastAsia="Calibri" w:hAnsi="Arial" w:cs="Arial"/>
          <w:bCs/>
          <w:color w:val="FF0000"/>
          <w:sz w:val="20"/>
          <w:szCs w:val="20"/>
          <w:highlight w:val="yellow"/>
        </w:rPr>
        <w:t>(...)</w:t>
      </w:r>
    </w:p>
    <w:p w:rsidR="00983F71" w:rsidRPr="00983F71" w:rsidRDefault="00983F71" w:rsidP="00983F71">
      <w:pPr>
        <w:spacing w:after="0" w:line="240" w:lineRule="auto"/>
        <w:jc w:val="both"/>
        <w:rPr>
          <w:rFonts w:ascii="Arial" w:eastAsia="Calibri" w:hAnsi="Arial" w:cs="Arial"/>
          <w:b/>
          <w:sz w:val="20"/>
          <w:szCs w:val="20"/>
        </w:rPr>
      </w:pPr>
    </w:p>
    <w:p w:rsidR="00983F71" w:rsidRPr="00983F71" w:rsidRDefault="00983F71" w:rsidP="00983F71">
      <w:pPr>
        <w:spacing w:after="0" w:line="240" w:lineRule="auto"/>
        <w:jc w:val="both"/>
        <w:rPr>
          <w:rFonts w:ascii="Arial" w:eastAsia="Times New Roman" w:hAnsi="Arial" w:cs="Arial"/>
          <w:color w:val="FF0000"/>
          <w:sz w:val="20"/>
          <w:szCs w:val="20"/>
          <w:lang w:eastAsia="pt-BR"/>
        </w:rPr>
      </w:pP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r w:rsidRPr="00983F71">
        <w:rPr>
          <w:rFonts w:ascii="Arial" w:eastAsia="Times New Roman" w:hAnsi="Arial" w:cs="Arial"/>
          <w:b/>
          <w:color w:val="FF0000"/>
          <w:sz w:val="20"/>
          <w:szCs w:val="24"/>
          <w:lang w:eastAsia="pt-BR"/>
        </w:rPr>
        <w:t xml:space="preserve">10.6. DA SUSTENTABILIDADE </w:t>
      </w:r>
    </w:p>
    <w:p w:rsidR="00983F71" w:rsidRPr="00983F71" w:rsidRDefault="00983F71" w:rsidP="00983F71">
      <w:pPr>
        <w:spacing w:after="0" w:line="240" w:lineRule="auto"/>
        <w:jc w:val="both"/>
        <w:rPr>
          <w:rFonts w:ascii="Arial" w:eastAsia="Times New Roman" w:hAnsi="Arial" w:cs="Arial"/>
          <w:sz w:val="20"/>
          <w:szCs w:val="24"/>
          <w:lang w:eastAsia="pt-BR"/>
        </w:rPr>
      </w:pPr>
      <w:r w:rsidRPr="00983F71">
        <w:rPr>
          <w:rFonts w:ascii="Arial" w:eastAsia="Times New Roman" w:hAnsi="Arial" w:cs="Arial"/>
          <w:sz w:val="20"/>
          <w:szCs w:val="24"/>
          <w:lang w:eastAsia="pt-BR"/>
        </w:rPr>
        <w:t xml:space="preserve"> </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bCs/>
          <w:sz w:val="20"/>
          <w:szCs w:val="20"/>
        </w:rPr>
      </w:pPr>
      <w:r w:rsidRPr="00983F71">
        <w:rPr>
          <w:rFonts w:ascii="Arial" w:eastAsia="Calibri" w:hAnsi="Arial" w:cs="Arial"/>
          <w:b/>
          <w:bCs/>
          <w:sz w:val="20"/>
          <w:szCs w:val="20"/>
        </w:rPr>
        <w:t>Orientações práticas:</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bCs/>
          <w:sz w:val="20"/>
          <w:szCs w:val="20"/>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sz w:val="20"/>
          <w:szCs w:val="20"/>
        </w:rPr>
        <w:t>O campo deverá indicar as práticas de sustentabilidade aplicáveis ao objeto.</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Calibri" w:hAnsi="Arial" w:cs="Arial"/>
          <w:b/>
          <w:sz w:val="20"/>
          <w:szCs w:val="20"/>
        </w:rPr>
      </w:pPr>
      <w:r w:rsidRPr="00983F71">
        <w:rPr>
          <w:rFonts w:ascii="Arial" w:eastAsia="Calibri" w:hAnsi="Arial" w:cs="Arial"/>
          <w:sz w:val="20"/>
          <w:szCs w:val="20"/>
        </w:rPr>
        <w:t>Para promover a escolha do(s) critério(s) de sustentabilidade em um determinado certame é indispensável que a Administração Pública, na fase de planejamento da contratação: (a) avalie se o critério de sustentabilidade escolhido possui um nexo de pertinência com o objeto que se está contratando; (b) indique os atos normativos que dão suporte para sua exigência; (c) fixe parâmetros objetivos no instrumento convocatório que permitam avaliar o cumprimento ou não dos critérios de sustentabilidade, atentando-se para as práticas de mercado e as exigências legais.</w:t>
      </w: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r w:rsidRPr="00983F71">
        <w:rPr>
          <w:rFonts w:ascii="Arial" w:eastAsia="Times New Roman" w:hAnsi="Arial" w:cs="Arial"/>
          <w:b/>
          <w:color w:val="FF0000"/>
          <w:sz w:val="20"/>
          <w:szCs w:val="24"/>
          <w:lang w:eastAsia="pt-BR"/>
        </w:rPr>
        <w:t>10.7. GARANTIA CONTRATUAL</w:t>
      </w:r>
    </w:p>
    <w:p w:rsidR="00983F71" w:rsidRPr="00983F71" w:rsidRDefault="00983F71" w:rsidP="00983F71">
      <w:pPr>
        <w:spacing w:after="0" w:line="240" w:lineRule="auto"/>
        <w:jc w:val="both"/>
        <w:rPr>
          <w:rFonts w:ascii="Arial" w:eastAsia="Times New Roman" w:hAnsi="Arial" w:cs="Arial"/>
          <w:b/>
          <w:sz w:val="20"/>
          <w:szCs w:val="24"/>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sz w:val="20"/>
          <w:szCs w:val="24"/>
          <w:lang w:eastAsia="pt-BR"/>
        </w:rPr>
      </w:pPr>
      <w:r w:rsidRPr="00983F71">
        <w:rPr>
          <w:rFonts w:ascii="Arial" w:eastAsia="Times New Roman" w:hAnsi="Arial" w:cs="Arial"/>
          <w:b/>
          <w:sz w:val="20"/>
          <w:szCs w:val="24"/>
          <w:lang w:eastAsia="pt-BR"/>
        </w:rPr>
        <w:t>Orientações práticas:</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4"/>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4"/>
          <w:lang w:eastAsia="pt-BR"/>
        </w:rPr>
      </w:pPr>
      <w:r w:rsidRPr="00983F71">
        <w:rPr>
          <w:rFonts w:ascii="Arial" w:eastAsia="Times New Roman" w:hAnsi="Arial" w:cs="Arial"/>
          <w:b/>
          <w:sz w:val="20"/>
          <w:szCs w:val="24"/>
          <w:lang w:eastAsia="pt-BR"/>
        </w:rPr>
        <w:t xml:space="preserve">Conteúdo: </w:t>
      </w:r>
      <w:r w:rsidRPr="00983F71">
        <w:rPr>
          <w:rFonts w:ascii="Arial" w:eastAsia="Times New Roman" w:hAnsi="Arial" w:cs="Arial"/>
          <w:sz w:val="20"/>
          <w:szCs w:val="24"/>
          <w:lang w:eastAsia="pt-BR"/>
        </w:rPr>
        <w:t xml:space="preserve">Nos termos do art. 56 da Lei 8.666/93 a exigência de prestação de garantias nas contratações é uma </w:t>
      </w:r>
      <w:r w:rsidRPr="00983F71">
        <w:rPr>
          <w:rFonts w:ascii="Arial" w:eastAsia="Times New Roman" w:hAnsi="Arial" w:cs="Arial"/>
          <w:sz w:val="20"/>
          <w:szCs w:val="24"/>
          <w:u w:val="single"/>
          <w:lang w:eastAsia="pt-BR"/>
        </w:rPr>
        <w:t>discricionariedade do Administrador</w:t>
      </w:r>
      <w:r w:rsidRPr="00983F71">
        <w:rPr>
          <w:rFonts w:ascii="Arial" w:eastAsia="Times New Roman" w:hAnsi="Arial" w:cs="Arial"/>
          <w:sz w:val="20"/>
          <w:szCs w:val="24"/>
          <w:lang w:eastAsia="pt-BR"/>
        </w:rPr>
        <w:t>: “</w:t>
      </w:r>
      <w:r w:rsidRPr="00983F71">
        <w:rPr>
          <w:rFonts w:ascii="Arial" w:eastAsia="Times New Roman" w:hAnsi="Arial" w:cs="Arial"/>
          <w:i/>
          <w:sz w:val="20"/>
          <w:szCs w:val="24"/>
          <w:lang w:eastAsia="pt-BR"/>
        </w:rPr>
        <w:t>Art. 56. A critério da autoridade competente, em cada caso, e desde que prevista no instrumento convocatório, poderá ser exigida prestação de garantia nas contratações de obras, serviços e compras</w:t>
      </w:r>
      <w:r w:rsidRPr="00983F71">
        <w:rPr>
          <w:rFonts w:ascii="Arial" w:eastAsia="Times New Roman" w:hAnsi="Arial" w:cs="Arial"/>
          <w:sz w:val="20"/>
          <w:szCs w:val="24"/>
          <w:lang w:eastAsia="pt-BR"/>
        </w:rPr>
        <w:t>”.</w:t>
      </w:r>
    </w:p>
    <w:p w:rsidR="00983F71" w:rsidRPr="00983F71" w:rsidRDefault="00983F71" w:rsidP="00983F71">
      <w:pPr>
        <w:spacing w:after="0" w:line="240" w:lineRule="auto"/>
        <w:jc w:val="both"/>
        <w:rPr>
          <w:rFonts w:ascii="Arial" w:eastAsia="Times New Roman" w:hAnsi="Arial" w:cs="Arial"/>
          <w:b/>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10.7.1.</w:t>
      </w:r>
      <w:r w:rsidRPr="00983F71">
        <w:rPr>
          <w:rFonts w:ascii="Arial" w:eastAsia="Times New Roman" w:hAnsi="Arial" w:cs="Arial"/>
          <w:color w:val="FF0000"/>
          <w:sz w:val="20"/>
          <w:szCs w:val="24"/>
          <w:lang w:eastAsia="pt-BR"/>
        </w:rPr>
        <w:t xml:space="preserve"> Não haverá exigência de garantia contratual da execução, pelas razões abaixo justificadas:</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lastRenderedPageBreak/>
        <w:t>10.7.1.1.</w:t>
      </w:r>
      <w:r w:rsidRPr="00983F71">
        <w:rPr>
          <w:rFonts w:ascii="Arial" w:eastAsia="Times New Roman" w:hAnsi="Arial" w:cs="Arial"/>
          <w:color w:val="FF0000"/>
          <w:sz w:val="20"/>
          <w:szCs w:val="24"/>
          <w:lang w:eastAsia="pt-BR"/>
        </w:rPr>
        <w:t xml:space="preserve"> </w:t>
      </w:r>
      <w:r w:rsidRPr="00983F71">
        <w:rPr>
          <w:rFonts w:ascii="Arial" w:eastAsia="Times New Roman" w:hAnsi="Arial" w:cs="Arial"/>
          <w:color w:val="FF0000"/>
          <w:sz w:val="20"/>
          <w:szCs w:val="24"/>
          <w:highlight w:val="yellow"/>
          <w:lang w:eastAsia="pt-BR"/>
        </w:rPr>
        <w:t>...</w:t>
      </w: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4"/>
          <w:lang w:eastAsia="pt-BR"/>
        </w:rPr>
      </w:pPr>
      <w:r w:rsidRPr="00983F71">
        <w:rPr>
          <w:rFonts w:ascii="Arial" w:eastAsia="Times New Roman" w:hAnsi="Arial" w:cs="Arial"/>
          <w:b/>
          <w:sz w:val="20"/>
          <w:szCs w:val="24"/>
          <w:lang w:eastAsia="pt-BR"/>
        </w:rPr>
        <w:t>Nota explicativa:</w:t>
      </w:r>
      <w:r w:rsidRPr="00983F71">
        <w:rPr>
          <w:rFonts w:ascii="Arial" w:eastAsia="Times New Roman" w:hAnsi="Arial" w:cs="Arial"/>
          <w:sz w:val="20"/>
          <w:szCs w:val="24"/>
          <w:lang w:eastAsia="pt-BR"/>
        </w:rPr>
        <w:t xml:space="preserve"> Caso a equipe de planejamento opte por não exigir a prestação de garantia, deve utilizar o subitem acima, bem como justificar as razões para essa decisão.</w:t>
      </w: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4"/>
          <w:lang w:eastAsia="pt-BR"/>
        </w:rPr>
      </w:pPr>
      <w:r w:rsidRPr="00983F71">
        <w:rPr>
          <w:rFonts w:ascii="Arial" w:eastAsia="Times New Roman" w:hAnsi="Arial" w:cs="Arial"/>
          <w:sz w:val="20"/>
          <w:szCs w:val="24"/>
          <w:lang w:eastAsia="pt-BR"/>
        </w:rPr>
        <w:t xml:space="preserve">Porém, em sendo exigida, </w:t>
      </w:r>
      <w:r w:rsidRPr="00983F71">
        <w:rPr>
          <w:rFonts w:ascii="Arial" w:eastAsia="Times New Roman" w:hAnsi="Arial" w:cs="Arial"/>
          <w:sz w:val="20"/>
          <w:szCs w:val="24"/>
          <w:u w:val="single"/>
          <w:lang w:eastAsia="pt-BR"/>
        </w:rPr>
        <w:t>além da necessidade da motivação</w:t>
      </w:r>
      <w:r w:rsidRPr="00983F71">
        <w:rPr>
          <w:rFonts w:ascii="Arial" w:eastAsia="Times New Roman" w:hAnsi="Arial" w:cs="Arial"/>
          <w:sz w:val="20"/>
          <w:szCs w:val="24"/>
          <w:lang w:eastAsia="pt-BR"/>
        </w:rPr>
        <w:t>, deve-se adotar a redação abaixo indicada.</w:t>
      </w: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spacing w:after="0" w:line="240" w:lineRule="auto"/>
        <w:jc w:val="both"/>
        <w:rPr>
          <w:rFonts w:ascii="Arial" w:eastAsia="Times New Roman" w:hAnsi="Arial" w:cs="Arial"/>
          <w:b/>
          <w:bCs/>
          <w:color w:val="FF0000"/>
          <w:sz w:val="20"/>
          <w:szCs w:val="24"/>
          <w:lang w:eastAsia="pt-BR"/>
        </w:rPr>
      </w:pPr>
      <w:r w:rsidRPr="00983F71">
        <w:rPr>
          <w:rFonts w:ascii="Arial" w:eastAsia="Times New Roman" w:hAnsi="Arial" w:cs="Arial"/>
          <w:b/>
          <w:bCs/>
          <w:color w:val="FF0000"/>
          <w:sz w:val="20"/>
          <w:szCs w:val="24"/>
          <w:highlight w:val="yellow"/>
          <w:lang w:eastAsia="pt-BR"/>
        </w:rPr>
        <w:t>OU</w:t>
      </w:r>
    </w:p>
    <w:p w:rsidR="00983F71" w:rsidRPr="00983F71" w:rsidRDefault="00983F71" w:rsidP="00983F71">
      <w:pPr>
        <w:spacing w:after="0" w:line="240" w:lineRule="auto"/>
        <w:jc w:val="both"/>
        <w:rPr>
          <w:rFonts w:ascii="Arial" w:eastAsia="Times New Roman" w:hAnsi="Arial" w:cs="Arial"/>
          <w:b/>
          <w:bCs/>
          <w:color w:val="FF0000"/>
          <w:sz w:val="20"/>
          <w:szCs w:val="24"/>
          <w:u w:val="single"/>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10.7.1.</w:t>
      </w:r>
      <w:r w:rsidRPr="00983F71">
        <w:rPr>
          <w:rFonts w:ascii="Arial" w:eastAsia="Times New Roman" w:hAnsi="Arial" w:cs="Arial"/>
          <w:color w:val="FF0000"/>
          <w:sz w:val="20"/>
          <w:szCs w:val="24"/>
          <w:lang w:eastAsia="pt-BR"/>
        </w:rPr>
        <w:t xml:space="preserve"> A contratada prestará garantia de execução do contrato, nos moldes do art. 56 da Lei nº 8.666, de 1993, com validade durante a execução do contrato e por 90 (noventa) dias após o término da vigência contratual, em valor correspondente a </w:t>
      </w:r>
      <w:r w:rsidRPr="00983F71">
        <w:rPr>
          <w:rFonts w:ascii="Arial" w:eastAsia="Times New Roman" w:hAnsi="Arial" w:cs="Arial"/>
          <w:color w:val="FF0000"/>
          <w:sz w:val="20"/>
          <w:szCs w:val="24"/>
          <w:highlight w:val="yellow"/>
          <w:lang w:eastAsia="pt-BR"/>
        </w:rPr>
        <w:t>..............</w:t>
      </w:r>
      <w:r w:rsidRPr="00983F71">
        <w:rPr>
          <w:rFonts w:ascii="Arial" w:eastAsia="Times New Roman" w:hAnsi="Arial" w:cs="Arial"/>
          <w:color w:val="FF0000"/>
          <w:sz w:val="20"/>
          <w:szCs w:val="24"/>
          <w:lang w:eastAsia="pt-BR"/>
        </w:rPr>
        <w:t xml:space="preserve"> % (</w:t>
      </w:r>
      <w:r w:rsidRPr="00983F71">
        <w:rPr>
          <w:rFonts w:ascii="Arial" w:eastAsia="Times New Roman" w:hAnsi="Arial" w:cs="Arial"/>
          <w:color w:val="FF0000"/>
          <w:sz w:val="20"/>
          <w:szCs w:val="24"/>
          <w:highlight w:val="yellow"/>
          <w:lang w:eastAsia="pt-BR"/>
        </w:rPr>
        <w:t>........................</w:t>
      </w:r>
      <w:r w:rsidRPr="00983F71">
        <w:rPr>
          <w:rFonts w:ascii="Arial" w:eastAsia="Times New Roman" w:hAnsi="Arial" w:cs="Arial"/>
          <w:color w:val="FF0000"/>
          <w:sz w:val="20"/>
          <w:szCs w:val="24"/>
          <w:lang w:eastAsia="pt-BR"/>
        </w:rPr>
        <w:t>) do valor total do contrato.</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4"/>
          <w:lang w:eastAsia="pt-BR"/>
        </w:rPr>
      </w:pPr>
      <w:r w:rsidRPr="00983F71">
        <w:rPr>
          <w:rFonts w:ascii="Arial" w:eastAsia="Times New Roman" w:hAnsi="Arial" w:cs="Arial"/>
          <w:b/>
          <w:sz w:val="20"/>
          <w:szCs w:val="24"/>
          <w:lang w:eastAsia="pt-BR"/>
        </w:rPr>
        <w:t>Nota explicativa:</w:t>
      </w:r>
      <w:r w:rsidRPr="00983F71">
        <w:rPr>
          <w:rFonts w:ascii="Arial" w:eastAsia="Times New Roman" w:hAnsi="Arial" w:cs="Arial"/>
          <w:sz w:val="20"/>
          <w:szCs w:val="24"/>
          <w:lang w:eastAsia="pt-BR"/>
        </w:rPr>
        <w:t xml:space="preserve"> Segundo a Lei 8.666, a garantia de execução do contrato </w:t>
      </w:r>
      <w:r w:rsidRPr="00983F71">
        <w:rPr>
          <w:rFonts w:ascii="Arial" w:eastAsia="Times New Roman" w:hAnsi="Arial" w:cs="Arial"/>
          <w:sz w:val="20"/>
          <w:szCs w:val="24"/>
          <w:u w:val="single"/>
          <w:lang w:eastAsia="pt-BR"/>
        </w:rPr>
        <w:t>não excederá a 5% (cinco por cento) do valor do contrato</w:t>
      </w:r>
      <w:r w:rsidRPr="00983F71">
        <w:rPr>
          <w:rFonts w:ascii="Arial" w:eastAsia="Times New Roman" w:hAnsi="Arial" w:cs="Arial"/>
          <w:sz w:val="20"/>
          <w:szCs w:val="24"/>
          <w:lang w:eastAsia="pt-BR"/>
        </w:rPr>
        <w:t xml:space="preserve"> e terá seu valor atualizado nas mesmas condições daquele.</w:t>
      </w: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4"/>
          <w:lang w:eastAsia="pt-BR"/>
        </w:rPr>
      </w:pPr>
      <w:r w:rsidRPr="00983F71">
        <w:rPr>
          <w:rFonts w:ascii="Arial" w:eastAsia="Times New Roman" w:hAnsi="Arial" w:cs="Arial"/>
          <w:sz w:val="20"/>
          <w:szCs w:val="24"/>
          <w:lang w:eastAsia="pt-BR"/>
        </w:rPr>
        <w:t xml:space="preserve">Porém, para obras, serviços e fornecimentos de </w:t>
      </w:r>
      <w:r w:rsidRPr="00983F71">
        <w:rPr>
          <w:rFonts w:ascii="Arial" w:eastAsia="Times New Roman" w:hAnsi="Arial" w:cs="Arial"/>
          <w:sz w:val="20"/>
          <w:szCs w:val="24"/>
          <w:u w:val="single"/>
          <w:lang w:eastAsia="pt-BR"/>
        </w:rPr>
        <w:t>grande vulto envolvendo alta complexidade</w:t>
      </w:r>
      <w:r w:rsidRPr="00983F71">
        <w:rPr>
          <w:rFonts w:ascii="Arial" w:eastAsia="Times New Roman" w:hAnsi="Arial" w:cs="Arial"/>
          <w:sz w:val="20"/>
          <w:szCs w:val="24"/>
          <w:lang w:eastAsia="pt-BR"/>
        </w:rPr>
        <w:t xml:space="preserve"> técnica e riscos financeiros consideráveis, demonstrados através de parecer tecnicamente aprovado pela autoridade competente, o limite de garantia </w:t>
      </w:r>
      <w:r w:rsidRPr="00983F71">
        <w:rPr>
          <w:rFonts w:ascii="Arial" w:eastAsia="Times New Roman" w:hAnsi="Arial" w:cs="Arial"/>
          <w:sz w:val="20"/>
          <w:szCs w:val="24"/>
          <w:u w:val="single"/>
          <w:lang w:eastAsia="pt-BR"/>
        </w:rPr>
        <w:t>poderá ser elevado para até dez por cento</w:t>
      </w:r>
      <w:r w:rsidRPr="00983F71">
        <w:rPr>
          <w:rFonts w:ascii="Arial" w:eastAsia="Times New Roman" w:hAnsi="Arial" w:cs="Arial"/>
          <w:sz w:val="20"/>
          <w:szCs w:val="24"/>
          <w:lang w:eastAsia="pt-BR"/>
        </w:rPr>
        <w:t xml:space="preserve"> do valor do contrato. (art. 56. §3º)</w:t>
      </w: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4"/>
          <w:lang w:eastAsia="pt-BR"/>
        </w:rPr>
      </w:pPr>
      <w:r w:rsidRPr="00983F71">
        <w:rPr>
          <w:rFonts w:ascii="Arial" w:eastAsia="Times New Roman" w:hAnsi="Arial" w:cs="Arial"/>
          <w:sz w:val="20"/>
          <w:szCs w:val="24"/>
          <w:lang w:eastAsia="pt-BR"/>
        </w:rPr>
        <w:t>É importante ressaltar que, segundo o TCU, a elevação desse valor da garantia só é viável caso a contratação seja de grande vulto, envolvendo alta complexidade e riscos financeiros consideráveis, nos estritos termos previstos no citado dispositivo legal, não sendo possível tal elevação apenas por se tratar de aquisição de equipamentos com a prestação de serviço de suporte técnico pelo período de garantia desses equipamentos. (Acórdão 1177/2014-Plenário)</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10.7.2.</w:t>
      </w:r>
      <w:r w:rsidRPr="00983F71">
        <w:rPr>
          <w:rFonts w:ascii="Arial" w:eastAsia="Times New Roman" w:hAnsi="Arial" w:cs="Arial"/>
          <w:color w:val="FF0000"/>
          <w:sz w:val="20"/>
          <w:szCs w:val="24"/>
          <w:lang w:eastAsia="pt-BR"/>
        </w:rPr>
        <w:t xml:space="preserve"> No prazo máximo de </w:t>
      </w:r>
      <w:r w:rsidRPr="00983F71">
        <w:rPr>
          <w:rFonts w:ascii="Arial" w:eastAsia="Times New Roman" w:hAnsi="Arial" w:cs="Arial"/>
          <w:color w:val="FF0000"/>
          <w:sz w:val="20"/>
          <w:szCs w:val="24"/>
          <w:highlight w:val="yellow"/>
          <w:lang w:eastAsia="pt-BR"/>
        </w:rPr>
        <w:t>(...)</w:t>
      </w:r>
      <w:r w:rsidRPr="00983F71">
        <w:rPr>
          <w:rFonts w:ascii="Arial" w:eastAsia="Times New Roman" w:hAnsi="Arial" w:cs="Arial"/>
          <w:color w:val="FF0000"/>
          <w:sz w:val="20"/>
          <w:szCs w:val="24"/>
          <w:lang w:eastAsia="pt-BR"/>
        </w:rPr>
        <w:t xml:space="preserve"> dias úteis, prorrogáveis por igual período, a critério da contratante, contados da assinatura do contrato, a contratada deverá apresentar comprovante de prestação de garantia, podendo optar por caução em dinheiro ou títulos da dívida pública, seguro-garantia ou fiança bancária.</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10.7.2.1.</w:t>
      </w:r>
      <w:r w:rsidRPr="00983F71">
        <w:rPr>
          <w:rFonts w:ascii="Arial" w:eastAsia="Times New Roman" w:hAnsi="Arial" w:cs="Arial"/>
          <w:color w:val="FF0000"/>
          <w:sz w:val="20"/>
          <w:szCs w:val="24"/>
          <w:lang w:eastAsia="pt-BR"/>
        </w:rPr>
        <w:t xml:space="preserve"> A inobservância do prazo fixado para apresentação da garantia acarretará a aplicação de multa de </w:t>
      </w:r>
      <w:r w:rsidRPr="00983F71">
        <w:rPr>
          <w:rFonts w:ascii="Arial" w:eastAsia="Times New Roman" w:hAnsi="Arial" w:cs="Arial"/>
          <w:color w:val="FF0000"/>
          <w:sz w:val="20"/>
          <w:szCs w:val="24"/>
          <w:highlight w:val="yellow"/>
          <w:lang w:eastAsia="pt-BR"/>
        </w:rPr>
        <w:t>.............% (..................)</w:t>
      </w:r>
      <w:r w:rsidRPr="00983F71">
        <w:rPr>
          <w:rFonts w:ascii="Arial" w:eastAsia="Times New Roman" w:hAnsi="Arial" w:cs="Arial"/>
          <w:color w:val="FF0000"/>
          <w:sz w:val="20"/>
          <w:szCs w:val="24"/>
          <w:lang w:eastAsia="pt-BR"/>
        </w:rPr>
        <w:t xml:space="preserve"> do valor total do contrato por dia de atraso, até o máximo de </w:t>
      </w:r>
      <w:r w:rsidRPr="00983F71">
        <w:rPr>
          <w:rFonts w:ascii="Arial" w:eastAsia="Times New Roman" w:hAnsi="Arial" w:cs="Arial"/>
          <w:color w:val="FF0000"/>
          <w:sz w:val="20"/>
          <w:szCs w:val="24"/>
          <w:highlight w:val="yellow"/>
          <w:lang w:eastAsia="pt-BR"/>
        </w:rPr>
        <w:t>...........% (.............)</w:t>
      </w:r>
      <w:r w:rsidRPr="00983F71">
        <w:rPr>
          <w:rFonts w:ascii="Arial" w:eastAsia="Times New Roman" w:hAnsi="Arial" w:cs="Arial"/>
          <w:color w:val="FF0000"/>
          <w:sz w:val="20"/>
          <w:szCs w:val="24"/>
          <w:lang w:eastAsia="pt-BR"/>
        </w:rPr>
        <w:t>.</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10.7.2.2.</w:t>
      </w:r>
      <w:r w:rsidRPr="00983F71">
        <w:rPr>
          <w:rFonts w:ascii="Arial" w:eastAsia="Times New Roman" w:hAnsi="Arial" w:cs="Arial"/>
          <w:color w:val="FF0000"/>
          <w:sz w:val="20"/>
          <w:szCs w:val="24"/>
          <w:lang w:eastAsia="pt-BR"/>
        </w:rPr>
        <w:t xml:space="preserve"> O atraso superior a 25 (vinte e cinco) dias autoriza a Administração a promover a rescisão do contrato por descumprimento ou cumprimento irregular de suas cláusulas, conforme dispõem os incisos I e II do art. 78 da Lei n. 8.666/93.</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10.7.3.</w:t>
      </w:r>
      <w:r w:rsidRPr="00983F71">
        <w:rPr>
          <w:rFonts w:ascii="Arial" w:eastAsia="Times New Roman" w:hAnsi="Arial" w:cs="Arial"/>
          <w:color w:val="FF0000"/>
          <w:sz w:val="20"/>
          <w:szCs w:val="24"/>
          <w:lang w:eastAsia="pt-BR"/>
        </w:rPr>
        <w:t xml:space="preserve"> A validade da garantia, qualquer que seja a modalidade escolhida, deverá abranger um período mínimo de 90 (noventa) dias após o término da vigência contratual. A garantia deve assegurar a cobertura de todos os eventos ocorridos durante a sua validade, ainda que o sinistro seja comunicado após expirada a vigência do contrato ou a validade da garantia.</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 xml:space="preserve">10.7.4. </w:t>
      </w:r>
      <w:r w:rsidRPr="00983F71">
        <w:rPr>
          <w:rFonts w:ascii="Arial" w:eastAsia="Times New Roman" w:hAnsi="Arial" w:cs="Arial"/>
          <w:color w:val="FF0000"/>
          <w:sz w:val="20"/>
          <w:szCs w:val="24"/>
          <w:lang w:eastAsia="pt-BR"/>
        </w:rPr>
        <w:t xml:space="preserve">A garantia assegurará, qualquer que seja a modalidade escolhida, o pagamento de: </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10.7.4.1.</w:t>
      </w:r>
      <w:r w:rsidRPr="00983F71">
        <w:rPr>
          <w:rFonts w:ascii="Arial" w:eastAsia="Times New Roman" w:hAnsi="Arial" w:cs="Arial"/>
          <w:color w:val="FF0000"/>
          <w:sz w:val="20"/>
          <w:szCs w:val="24"/>
          <w:lang w:eastAsia="pt-BR"/>
        </w:rPr>
        <w:t xml:space="preserve"> Prejuízos advindos do não cumprimento do objeto do contrato e do não adimplemento das demais obrigações nele previstas; </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10.7.4.2</w:t>
      </w:r>
      <w:r w:rsidRPr="00983F71">
        <w:rPr>
          <w:rFonts w:ascii="Arial" w:eastAsia="Times New Roman" w:hAnsi="Arial" w:cs="Arial"/>
          <w:color w:val="FF0000"/>
          <w:sz w:val="20"/>
          <w:szCs w:val="24"/>
          <w:lang w:eastAsia="pt-BR"/>
        </w:rPr>
        <w:t>. Prejuízos diretos causados à Administração decorrentes de culpa ou dolo durante a execução do contrato;</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10.7.4.3</w:t>
      </w:r>
      <w:r w:rsidRPr="00983F71">
        <w:rPr>
          <w:rFonts w:ascii="Arial" w:eastAsia="Times New Roman" w:hAnsi="Arial" w:cs="Arial"/>
          <w:color w:val="FF0000"/>
          <w:sz w:val="20"/>
          <w:szCs w:val="24"/>
          <w:lang w:eastAsia="pt-BR"/>
        </w:rPr>
        <w:t>. Multas moratórias e punitivas aplicadas pela Administração à contratada; e</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10.7.4.4</w:t>
      </w:r>
      <w:r w:rsidRPr="00983F71">
        <w:rPr>
          <w:rFonts w:ascii="Arial" w:eastAsia="Times New Roman" w:hAnsi="Arial" w:cs="Arial"/>
          <w:color w:val="FF0000"/>
          <w:sz w:val="20"/>
          <w:szCs w:val="24"/>
          <w:lang w:eastAsia="pt-BR"/>
        </w:rPr>
        <w:t>. Obrigações trabalhistas e previdenciárias de qualquer natureza e para com o FGTS, não adimplidas pela contratada, quando couber.</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10.7.5.</w:t>
      </w:r>
      <w:r w:rsidRPr="00983F71">
        <w:rPr>
          <w:rFonts w:ascii="Arial" w:eastAsia="Times New Roman" w:hAnsi="Arial" w:cs="Arial"/>
          <w:color w:val="FF0000"/>
          <w:sz w:val="20"/>
          <w:szCs w:val="24"/>
          <w:lang w:eastAsia="pt-BR"/>
        </w:rPr>
        <w:t xml:space="preserve"> A modalidade seguro-garantia somente será aceita se contemplar todos os eventos indicados no item anterior, observada a legislação que rege a matéria.</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10.7.6.</w:t>
      </w:r>
      <w:r w:rsidRPr="00983F71">
        <w:rPr>
          <w:rFonts w:ascii="Arial" w:eastAsia="Times New Roman" w:hAnsi="Arial" w:cs="Arial"/>
          <w:color w:val="FF0000"/>
          <w:sz w:val="20"/>
          <w:szCs w:val="24"/>
          <w:lang w:eastAsia="pt-BR"/>
        </w:rPr>
        <w:t xml:space="preserve"> A garantia em dinheiro deverá ser efetuada em favor da contratante, em conta específica na </w:t>
      </w:r>
      <w:r w:rsidRPr="00983F71">
        <w:rPr>
          <w:rFonts w:ascii="Arial" w:eastAsia="Times New Roman" w:hAnsi="Arial" w:cs="Arial"/>
          <w:color w:val="FF0000"/>
          <w:sz w:val="20"/>
          <w:szCs w:val="24"/>
          <w:highlight w:val="yellow"/>
          <w:lang w:eastAsia="pt-BR"/>
        </w:rPr>
        <w:t>(..............)</w:t>
      </w:r>
      <w:r w:rsidRPr="00983F71">
        <w:rPr>
          <w:rFonts w:ascii="Arial" w:eastAsia="Times New Roman" w:hAnsi="Arial" w:cs="Arial"/>
          <w:color w:val="FF0000"/>
          <w:sz w:val="20"/>
          <w:szCs w:val="24"/>
          <w:lang w:eastAsia="pt-BR"/>
        </w:rPr>
        <w:t>, com correção monetária.</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 xml:space="preserve">10.7.7. </w:t>
      </w:r>
      <w:r w:rsidRPr="00983F71">
        <w:rPr>
          <w:rFonts w:ascii="Arial" w:eastAsia="Times New Roman" w:hAnsi="Arial" w:cs="Arial"/>
          <w:color w:val="FF0000"/>
          <w:sz w:val="20"/>
          <w:szCs w:val="24"/>
          <w:lang w:eastAsia="pt-BR"/>
        </w:rPr>
        <w:t>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10.7.8.</w:t>
      </w:r>
      <w:r w:rsidRPr="00983F71">
        <w:rPr>
          <w:rFonts w:ascii="Arial" w:eastAsia="Times New Roman" w:hAnsi="Arial" w:cs="Arial"/>
          <w:color w:val="FF0000"/>
          <w:sz w:val="20"/>
          <w:szCs w:val="24"/>
          <w:lang w:eastAsia="pt-BR"/>
        </w:rPr>
        <w:t xml:space="preserve"> No caso de garantia na modalidade de fiança bancária, deverá constar expressa renúncia do fiador aos benefícios do artigo 827 do Código Civil.</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10.7.9.</w:t>
      </w:r>
      <w:r w:rsidRPr="00983F71">
        <w:rPr>
          <w:rFonts w:ascii="Arial" w:eastAsia="Times New Roman" w:hAnsi="Arial" w:cs="Arial"/>
          <w:color w:val="FF0000"/>
          <w:sz w:val="20"/>
          <w:szCs w:val="24"/>
          <w:lang w:eastAsia="pt-BR"/>
        </w:rPr>
        <w:t xml:space="preserve"> No caso de alteração do valor do contrato ou de prorrogação de sua vigência, a garantia deverá ser ajustada à nova situação ou renovada, seguindo os mesmos parâmetros utilizados quando da contratação. </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4"/>
          <w:lang w:eastAsia="pt-BR"/>
        </w:rPr>
      </w:pPr>
      <w:r w:rsidRPr="00983F71">
        <w:rPr>
          <w:rFonts w:ascii="Arial" w:eastAsia="Times New Roman" w:hAnsi="Arial" w:cs="Arial"/>
          <w:b/>
          <w:sz w:val="20"/>
          <w:szCs w:val="24"/>
          <w:lang w:eastAsia="pt-BR"/>
        </w:rPr>
        <w:t xml:space="preserve">Nota explicativa: </w:t>
      </w:r>
      <w:r w:rsidRPr="00983F71">
        <w:rPr>
          <w:rFonts w:ascii="Arial" w:eastAsia="Times New Roman" w:hAnsi="Arial" w:cs="Arial"/>
          <w:sz w:val="20"/>
          <w:szCs w:val="24"/>
          <w:lang w:eastAsia="pt-BR"/>
        </w:rPr>
        <w:t xml:space="preserve">A base de cálculo para a garantia de execução contratual nos serviços </w:t>
      </w:r>
      <w:r w:rsidRPr="00983F71">
        <w:rPr>
          <w:rFonts w:ascii="Arial" w:eastAsia="Times New Roman" w:hAnsi="Arial" w:cs="Arial"/>
          <w:sz w:val="20"/>
          <w:szCs w:val="24"/>
          <w:u w:val="single"/>
          <w:lang w:eastAsia="pt-BR"/>
        </w:rPr>
        <w:t>continuados</w:t>
      </w:r>
      <w:r w:rsidRPr="00983F71">
        <w:rPr>
          <w:rFonts w:ascii="Arial" w:eastAsia="Times New Roman" w:hAnsi="Arial" w:cs="Arial"/>
          <w:sz w:val="20"/>
          <w:szCs w:val="24"/>
          <w:lang w:eastAsia="pt-BR"/>
        </w:rPr>
        <w:t xml:space="preserve"> deve ater-se ao prazo de </w:t>
      </w:r>
      <w:r w:rsidRPr="00983F71">
        <w:rPr>
          <w:rFonts w:ascii="Arial" w:eastAsia="Times New Roman" w:hAnsi="Arial" w:cs="Arial"/>
          <w:sz w:val="20"/>
          <w:szCs w:val="24"/>
          <w:u w:val="single"/>
          <w:lang w:eastAsia="pt-BR"/>
        </w:rPr>
        <w:t>12 (doze) meses</w:t>
      </w:r>
      <w:r w:rsidRPr="00983F71">
        <w:rPr>
          <w:rFonts w:ascii="Arial" w:eastAsia="Times New Roman" w:hAnsi="Arial" w:cs="Arial"/>
          <w:sz w:val="20"/>
          <w:szCs w:val="24"/>
          <w:lang w:eastAsia="pt-BR"/>
        </w:rPr>
        <w:t xml:space="preserve">, que corresponde ao prazo legal de validade do crédito orçamentário (TCE/SP 10549.989.15-4; TCE/SP 251.989.13-3). Assim, na hipótese de prorrogação de sua vigência, a garantia deverá ser ajustada novamente, seguindo os mesmos parâmetros utilizados quando da contratação. </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10.7.10</w:t>
      </w:r>
      <w:r w:rsidRPr="00983F71">
        <w:rPr>
          <w:rFonts w:ascii="Arial" w:eastAsia="Times New Roman" w:hAnsi="Arial" w:cs="Arial"/>
          <w:color w:val="FF0000"/>
          <w:sz w:val="20"/>
          <w:szCs w:val="24"/>
          <w:lang w:eastAsia="pt-BR"/>
        </w:rPr>
        <w:t xml:space="preserve">. Se o valor da garantia for utilizado total ou parcialmente em pagamento de qualquer obrigação, a contratada obriga-se a fazer a respectiva reposição no prazo máximo de </w:t>
      </w:r>
      <w:r w:rsidRPr="00983F71">
        <w:rPr>
          <w:rFonts w:ascii="Arial" w:eastAsia="Times New Roman" w:hAnsi="Arial" w:cs="Arial"/>
          <w:color w:val="FF0000"/>
          <w:sz w:val="20"/>
          <w:szCs w:val="24"/>
          <w:highlight w:val="yellow"/>
          <w:lang w:eastAsia="pt-BR"/>
        </w:rPr>
        <w:t>.......... (......)</w:t>
      </w:r>
      <w:r w:rsidRPr="00983F71">
        <w:rPr>
          <w:rFonts w:ascii="Arial" w:eastAsia="Times New Roman" w:hAnsi="Arial" w:cs="Arial"/>
          <w:color w:val="FF0000"/>
          <w:sz w:val="20"/>
          <w:szCs w:val="24"/>
          <w:lang w:eastAsia="pt-BR"/>
        </w:rPr>
        <w:t xml:space="preserve"> dias úteis, contados da data em que for notificada.</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10.7.11.</w:t>
      </w:r>
      <w:r w:rsidRPr="00983F71">
        <w:rPr>
          <w:rFonts w:ascii="Arial" w:eastAsia="Times New Roman" w:hAnsi="Arial" w:cs="Arial"/>
          <w:color w:val="FF0000"/>
          <w:sz w:val="20"/>
          <w:szCs w:val="24"/>
          <w:lang w:eastAsia="pt-BR"/>
        </w:rPr>
        <w:t xml:space="preserve"> A contratante executará a garantia na forma prevista na legislação que rege a matéria.</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4"/>
          <w:lang w:eastAsia="pt-BR"/>
        </w:rPr>
      </w:pPr>
      <w:r w:rsidRPr="00983F71">
        <w:rPr>
          <w:rFonts w:ascii="Arial" w:eastAsia="Times New Roman" w:hAnsi="Arial" w:cs="Arial"/>
          <w:b/>
          <w:sz w:val="20"/>
          <w:szCs w:val="24"/>
          <w:lang w:eastAsia="pt-BR"/>
        </w:rPr>
        <w:t>Nota explicativa</w:t>
      </w:r>
      <w:r w:rsidRPr="00983F71">
        <w:rPr>
          <w:rFonts w:ascii="Arial" w:eastAsia="Times New Roman" w:hAnsi="Arial" w:cs="Arial"/>
          <w:sz w:val="20"/>
          <w:szCs w:val="24"/>
          <w:lang w:eastAsia="pt-BR"/>
        </w:rPr>
        <w:t>: Caso haja necessidade de acionamento da garantia, recomenda-se promover a notificação da contratada e da seguradora ou da entidade bancária dentro do prazo de vigência da garantia, sem prejuízo da cobrança dentro do prazo prescricional.</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 xml:space="preserve">10.7.12. </w:t>
      </w:r>
      <w:r w:rsidRPr="00983F71">
        <w:rPr>
          <w:rFonts w:ascii="Arial" w:eastAsia="Times New Roman" w:hAnsi="Arial" w:cs="Arial"/>
          <w:color w:val="FF0000"/>
          <w:sz w:val="20"/>
          <w:szCs w:val="24"/>
          <w:lang w:eastAsia="pt-BR"/>
        </w:rPr>
        <w:t xml:space="preserve">Será considerada extinta a garantia: </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10.7.12.1.</w:t>
      </w:r>
      <w:r w:rsidRPr="00983F71">
        <w:rPr>
          <w:rFonts w:ascii="Arial" w:eastAsia="Times New Roman" w:hAnsi="Arial" w:cs="Arial"/>
          <w:color w:val="FF0000"/>
          <w:sz w:val="20"/>
          <w:szCs w:val="24"/>
          <w:lang w:eastAsia="pt-BR"/>
        </w:rPr>
        <w:t xml:space="preserve"> Com a devolução da apólice, carta fiança ou autorização para o levantamento de importâncias depositadas em dinheiro a título de garantia, acompanhada de declaração da contratante, mediante termo circunstanciado, de que a contratada cumpriu todas as cláusulas do contrato. </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10.7.12.2.</w:t>
      </w:r>
      <w:r w:rsidRPr="00983F71">
        <w:rPr>
          <w:rFonts w:ascii="Arial" w:eastAsia="Times New Roman" w:hAnsi="Arial" w:cs="Arial"/>
          <w:color w:val="FF0000"/>
          <w:sz w:val="20"/>
          <w:szCs w:val="24"/>
          <w:lang w:eastAsia="pt-BR"/>
        </w:rPr>
        <w:t xml:space="preserve"> No prazo de 90 (noventa) dias após o término da vigência do contrato, caso a contratante não comunique a ocorrência de sinistros, quando o prazo será ampliado, nos termos da comunicação. </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10.7.13.</w:t>
      </w:r>
      <w:r w:rsidRPr="00983F71">
        <w:rPr>
          <w:rFonts w:ascii="Arial" w:eastAsia="Times New Roman" w:hAnsi="Arial" w:cs="Arial"/>
          <w:color w:val="FF0000"/>
          <w:sz w:val="20"/>
          <w:szCs w:val="24"/>
          <w:lang w:eastAsia="pt-BR"/>
        </w:rPr>
        <w:t xml:space="preserve"> O garantidor não é parte para figurar em processo administrativo instaurado pela contratante com o objetivo de apurar prejuízos e/ou aplicar sanções à contratada.</w:t>
      </w:r>
    </w:p>
    <w:p w:rsidR="00983F71" w:rsidRPr="00983F71" w:rsidRDefault="00983F71" w:rsidP="00983F71">
      <w:pPr>
        <w:spacing w:after="0" w:line="240" w:lineRule="auto"/>
        <w:jc w:val="both"/>
        <w:rPr>
          <w:rFonts w:ascii="Arial" w:eastAsia="Times New Roman" w:hAnsi="Arial" w:cs="Arial"/>
          <w:color w:val="FF0000"/>
          <w:sz w:val="20"/>
          <w:szCs w:val="24"/>
          <w:lang w:eastAsia="pt-BR"/>
        </w:rPr>
      </w:pPr>
    </w:p>
    <w:p w:rsidR="00983F71" w:rsidRPr="00983F71" w:rsidRDefault="00983F71" w:rsidP="00983F71">
      <w:pPr>
        <w:spacing w:after="0" w:line="240" w:lineRule="auto"/>
        <w:jc w:val="both"/>
        <w:rPr>
          <w:rFonts w:ascii="Arial" w:eastAsia="Times New Roman" w:hAnsi="Arial" w:cs="Arial"/>
          <w:color w:val="FF0000"/>
          <w:sz w:val="20"/>
          <w:szCs w:val="24"/>
          <w:lang w:eastAsia="pt-BR"/>
        </w:rPr>
      </w:pPr>
      <w:r w:rsidRPr="00983F71">
        <w:rPr>
          <w:rFonts w:ascii="Arial" w:eastAsia="Times New Roman" w:hAnsi="Arial" w:cs="Arial"/>
          <w:b/>
          <w:bCs/>
          <w:color w:val="FF0000"/>
          <w:sz w:val="20"/>
          <w:szCs w:val="24"/>
          <w:lang w:eastAsia="pt-BR"/>
        </w:rPr>
        <w:t>10.7.14.</w:t>
      </w:r>
      <w:r w:rsidRPr="00983F71">
        <w:rPr>
          <w:rFonts w:ascii="Arial" w:eastAsia="Times New Roman" w:hAnsi="Arial" w:cs="Arial"/>
          <w:color w:val="FF0000"/>
          <w:sz w:val="20"/>
          <w:szCs w:val="24"/>
          <w:lang w:eastAsia="pt-BR"/>
        </w:rPr>
        <w:t xml:space="preserve"> A contratada autoriza a contratante a reter, a qualquer tempo, a garantia, na forma prevista no edital e no contrato.</w:t>
      </w: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r w:rsidRPr="00983F71">
        <w:rPr>
          <w:rFonts w:ascii="Arial" w:eastAsia="Times New Roman" w:hAnsi="Arial" w:cs="Arial"/>
          <w:b/>
          <w:color w:val="FF0000"/>
          <w:sz w:val="20"/>
          <w:szCs w:val="24"/>
          <w:lang w:eastAsia="pt-BR"/>
        </w:rPr>
        <w:t>10.8. PAGAMENTO</w:t>
      </w: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p>
    <w:p w:rsidR="00983F71" w:rsidRPr="00983F71" w:rsidRDefault="00983F71" w:rsidP="00983F71">
      <w:pPr>
        <w:spacing w:after="0" w:line="240" w:lineRule="auto"/>
        <w:jc w:val="both"/>
        <w:rPr>
          <w:rFonts w:ascii="Arial" w:eastAsia="Times New Roman" w:hAnsi="Arial" w:cs="Arial"/>
          <w:bCs/>
          <w:color w:val="FF0000"/>
          <w:sz w:val="20"/>
          <w:szCs w:val="24"/>
          <w:lang w:eastAsia="pt-BR"/>
        </w:rPr>
      </w:pPr>
      <w:r w:rsidRPr="00983F71">
        <w:rPr>
          <w:rFonts w:ascii="Arial" w:eastAsia="Times New Roman" w:hAnsi="Arial" w:cs="Arial"/>
          <w:bCs/>
          <w:color w:val="FF0000"/>
          <w:sz w:val="20"/>
          <w:szCs w:val="24"/>
          <w:highlight w:val="yellow"/>
          <w:lang w:eastAsia="pt-BR"/>
        </w:rPr>
        <w:t>...</w:t>
      </w: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r w:rsidRPr="00983F71">
        <w:rPr>
          <w:rFonts w:ascii="Arial" w:eastAsia="Times New Roman" w:hAnsi="Arial" w:cs="Arial"/>
          <w:b/>
          <w:color w:val="FF0000"/>
          <w:sz w:val="20"/>
          <w:szCs w:val="24"/>
          <w:lang w:eastAsia="pt-BR"/>
        </w:rPr>
        <w:t>10.9. REAJUSTE</w:t>
      </w: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983F71">
        <w:rPr>
          <w:rFonts w:ascii="Arial" w:eastAsia="Times New Roman" w:hAnsi="Arial" w:cs="Arial"/>
          <w:b/>
          <w:bCs/>
          <w:sz w:val="20"/>
          <w:szCs w:val="20"/>
          <w:lang w:eastAsia="pt-BR"/>
        </w:rPr>
        <w:t>Orientações práticas:</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983F71">
        <w:rPr>
          <w:rFonts w:ascii="Arial" w:eastAsia="Times New Roman" w:hAnsi="Arial" w:cs="Arial"/>
          <w:sz w:val="20"/>
          <w:szCs w:val="20"/>
          <w:lang w:eastAsia="pt-BR"/>
        </w:rPr>
        <w:t xml:space="preserve">De acordo com o art. 40, inciso XI, da Lei nº 8.666/93, o reajuste é um elemento obrigatório do EDITAL. Por esse motivo, na minuta de Edital consta uma redação padronizada sobre a temática. </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983F71">
        <w:rPr>
          <w:rFonts w:ascii="Arial" w:eastAsia="Times New Roman" w:hAnsi="Arial" w:cs="Arial"/>
          <w:sz w:val="20"/>
          <w:szCs w:val="20"/>
          <w:lang w:eastAsia="pt-BR"/>
        </w:rPr>
        <w:t xml:space="preserve">No entanto, cabe à equipe de planejamento indicar qual será o índice de reajuste a ser previsto no edital, considerando o objeto contratado. </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983F71">
        <w:rPr>
          <w:rFonts w:ascii="Arial" w:eastAsia="Times New Roman" w:hAnsi="Arial" w:cs="Arial"/>
          <w:sz w:val="20"/>
          <w:szCs w:val="20"/>
          <w:lang w:eastAsia="pt-BR"/>
        </w:rPr>
        <w:t>Assim, essa informação (escolha do índice) poderá ser feita no Termo de Referência, utilizando-se do campo objeto desta orientação.</w:t>
      </w:r>
    </w:p>
    <w:p w:rsidR="00983F71" w:rsidRPr="00983F71" w:rsidRDefault="00983F71" w:rsidP="00983F71">
      <w:pPr>
        <w:spacing w:after="0" w:line="240" w:lineRule="auto"/>
        <w:jc w:val="both"/>
        <w:rPr>
          <w:rFonts w:ascii="Arial" w:eastAsia="Arial" w:hAnsi="Arial" w:cs="Arial"/>
          <w:color w:val="FF0000"/>
          <w:sz w:val="20"/>
          <w:szCs w:val="20"/>
          <w:lang w:eastAsia="pt-BR"/>
        </w:rPr>
      </w:pP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r w:rsidRPr="00983F71">
        <w:rPr>
          <w:rFonts w:ascii="Arial" w:eastAsia="Times New Roman" w:hAnsi="Arial" w:cs="Arial"/>
          <w:b/>
          <w:color w:val="FF0000"/>
          <w:sz w:val="20"/>
          <w:szCs w:val="24"/>
          <w:lang w:eastAsia="pt-BR"/>
        </w:rPr>
        <w:t>10.10. SANÇÕES ADMINISTRATIVAS</w:t>
      </w: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p>
    <w:p w:rsidR="00983F71" w:rsidRPr="00983F71" w:rsidRDefault="00983F71" w:rsidP="00983F71">
      <w:pPr>
        <w:spacing w:after="0" w:line="240" w:lineRule="auto"/>
        <w:jc w:val="both"/>
        <w:rPr>
          <w:rFonts w:ascii="Arial" w:eastAsia="Times New Roman" w:hAnsi="Arial" w:cs="Arial"/>
          <w:bCs/>
          <w:color w:val="FF0000"/>
          <w:sz w:val="20"/>
          <w:szCs w:val="24"/>
          <w:lang w:eastAsia="pt-BR"/>
        </w:rPr>
      </w:pPr>
      <w:r w:rsidRPr="00983F71">
        <w:rPr>
          <w:rFonts w:ascii="Arial" w:eastAsia="Times New Roman" w:hAnsi="Arial" w:cs="Arial"/>
          <w:bCs/>
          <w:color w:val="FF0000"/>
          <w:sz w:val="20"/>
          <w:szCs w:val="24"/>
          <w:highlight w:val="yellow"/>
          <w:lang w:eastAsia="pt-BR"/>
        </w:rPr>
        <w:t>...</w:t>
      </w:r>
    </w:p>
    <w:p w:rsidR="00983F71" w:rsidRPr="00983F71" w:rsidRDefault="00983F71" w:rsidP="00983F71">
      <w:pPr>
        <w:spacing w:after="0" w:line="240" w:lineRule="auto"/>
        <w:jc w:val="both"/>
        <w:rPr>
          <w:rFonts w:ascii="Arial" w:eastAsia="Times New Roman" w:hAnsi="Arial" w:cs="Arial"/>
          <w:bCs/>
          <w:color w:val="FF0000"/>
          <w:sz w:val="20"/>
          <w:szCs w:val="24"/>
          <w:lang w:eastAsia="pt-BR"/>
        </w:rPr>
      </w:pPr>
    </w:p>
    <w:p w:rsidR="00983F71" w:rsidRPr="00983F71" w:rsidRDefault="00983F71" w:rsidP="00983F71">
      <w:pPr>
        <w:spacing w:after="0" w:line="240" w:lineRule="auto"/>
        <w:jc w:val="both"/>
        <w:rPr>
          <w:rFonts w:ascii="Arial" w:eastAsia="Times New Roman" w:hAnsi="Arial" w:cs="Arial"/>
          <w:b/>
          <w:bCs/>
          <w:color w:val="FF0000"/>
          <w:sz w:val="20"/>
          <w:szCs w:val="24"/>
          <w:lang w:eastAsia="pt-BR"/>
        </w:rPr>
      </w:pPr>
      <w:r w:rsidRPr="00983F71">
        <w:rPr>
          <w:rFonts w:ascii="Arial" w:eastAsia="Times New Roman" w:hAnsi="Arial" w:cs="Arial"/>
          <w:b/>
          <w:bCs/>
          <w:color w:val="FF0000"/>
          <w:sz w:val="20"/>
          <w:szCs w:val="24"/>
          <w:lang w:eastAsia="pt-BR"/>
        </w:rPr>
        <w:t>10.11. CRONOGRAMA FÍSICO-FINANCEIRO</w:t>
      </w:r>
    </w:p>
    <w:p w:rsidR="00983F71" w:rsidRPr="00983F71" w:rsidRDefault="00983F71" w:rsidP="00983F71">
      <w:pPr>
        <w:spacing w:after="0" w:line="240" w:lineRule="auto"/>
        <w:jc w:val="both"/>
        <w:rPr>
          <w:rFonts w:ascii="Arial" w:eastAsia="Times New Roman" w:hAnsi="Arial" w:cs="Arial"/>
          <w:b/>
          <w:bCs/>
          <w:sz w:val="20"/>
          <w:szCs w:val="20"/>
          <w:lang w:eastAsia="pt-BR"/>
        </w:rPr>
      </w:pPr>
    </w:p>
    <w:p w:rsidR="00983F71" w:rsidRPr="00983F71" w:rsidRDefault="00983F71" w:rsidP="00983F71">
      <w:pPr>
        <w:spacing w:after="0" w:line="240" w:lineRule="auto"/>
        <w:jc w:val="both"/>
        <w:rPr>
          <w:rFonts w:ascii="Arial" w:eastAsia="Times New Roman" w:hAnsi="Arial" w:cs="Arial"/>
          <w:b/>
          <w:bCs/>
          <w:color w:val="FF0000"/>
          <w:sz w:val="20"/>
          <w:szCs w:val="20"/>
          <w:lang w:eastAsia="pt-BR"/>
        </w:rPr>
      </w:pPr>
      <w:r w:rsidRPr="00983F71">
        <w:rPr>
          <w:rFonts w:ascii="Arial" w:eastAsia="Times New Roman" w:hAnsi="Arial" w:cs="Arial"/>
          <w:b/>
          <w:bCs/>
          <w:color w:val="FF0000"/>
          <w:sz w:val="20"/>
          <w:szCs w:val="20"/>
          <w:lang w:eastAsia="pt-BR"/>
        </w:rPr>
        <w:t>(...)</w:t>
      </w:r>
    </w:p>
    <w:p w:rsidR="00983F71" w:rsidRPr="00983F71" w:rsidRDefault="00983F71" w:rsidP="00983F71">
      <w:pPr>
        <w:spacing w:after="0" w:line="240" w:lineRule="auto"/>
        <w:jc w:val="both"/>
        <w:rPr>
          <w:rFonts w:ascii="Times New Roman" w:eastAsia="Times New Roman" w:hAnsi="Times New Roman" w:cs="Times New Roman"/>
          <w:b/>
          <w:bCs/>
          <w:color w:val="FF0000"/>
          <w:sz w:val="26"/>
          <w:szCs w:val="26"/>
          <w:lang w:eastAsia="pt-BR"/>
        </w:rPr>
      </w:pPr>
    </w:p>
    <w:p w:rsidR="00983F71" w:rsidRPr="00983F71" w:rsidRDefault="00983F71" w:rsidP="00983F71">
      <w:pPr>
        <w:spacing w:after="0" w:line="240" w:lineRule="auto"/>
        <w:jc w:val="both"/>
        <w:rPr>
          <w:rFonts w:ascii="Arial" w:eastAsia="Times New Roman" w:hAnsi="Arial" w:cs="Arial"/>
          <w:b/>
          <w:bCs/>
          <w:color w:val="FF0000"/>
          <w:sz w:val="20"/>
          <w:szCs w:val="20"/>
          <w:lang w:eastAsia="pt-BR"/>
        </w:rPr>
      </w:pPr>
      <w:r w:rsidRPr="00983F71">
        <w:rPr>
          <w:rFonts w:ascii="Arial" w:eastAsia="Times New Roman" w:hAnsi="Arial" w:cs="Arial"/>
          <w:b/>
          <w:bCs/>
          <w:color w:val="FF0000"/>
          <w:sz w:val="20"/>
          <w:szCs w:val="20"/>
          <w:highlight w:val="cyan"/>
          <w:lang w:eastAsia="pt-BR"/>
        </w:rPr>
        <w:t>10.12. DA ADESÃO À ATA DE REGISTRO DE PREÇOS</w:t>
      </w:r>
    </w:p>
    <w:p w:rsidR="00983F71" w:rsidRPr="00983F71" w:rsidRDefault="00983F71" w:rsidP="00983F71">
      <w:pPr>
        <w:spacing w:after="0" w:line="240" w:lineRule="auto"/>
        <w:jc w:val="both"/>
        <w:rPr>
          <w:rFonts w:ascii="Times New Roman" w:eastAsia="Times New Roman" w:hAnsi="Times New Roman" w:cs="Times New Roman"/>
          <w:b/>
          <w:bCs/>
          <w:color w:val="FF0000"/>
          <w:sz w:val="26"/>
          <w:szCs w:val="26"/>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983F71">
        <w:rPr>
          <w:rFonts w:ascii="Arial" w:eastAsia="Times New Roman" w:hAnsi="Arial" w:cs="Arial"/>
          <w:b/>
          <w:bCs/>
          <w:sz w:val="20"/>
          <w:szCs w:val="20"/>
          <w:lang w:eastAsia="pt-BR"/>
        </w:rPr>
        <w:t>Orientações práticas:</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983F71">
        <w:rPr>
          <w:rFonts w:ascii="Arial" w:eastAsia="Times New Roman" w:hAnsi="Arial" w:cs="Arial"/>
          <w:bCs/>
          <w:sz w:val="20"/>
          <w:szCs w:val="20"/>
          <w:lang w:eastAsia="pt-BR"/>
        </w:rPr>
        <w:t xml:space="preserve">Nas contratações processadas pelo Sistema de Registro de Preço (Decreto 15.454/2020) é necessário incluir as justificativas para permitir ou não a adesão à ata de registro de preço por órgão ou entidade da Administração Pública que não tenha participado do certame licitatório. </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983F71">
        <w:rPr>
          <w:rFonts w:ascii="Arial" w:eastAsia="Times New Roman" w:hAnsi="Arial" w:cs="Arial"/>
          <w:bCs/>
          <w:sz w:val="20"/>
          <w:szCs w:val="20"/>
          <w:lang w:eastAsia="pt-BR"/>
        </w:rPr>
        <w:t>Assim, nessa oportunidade, deverá ser explicitado a</w:t>
      </w:r>
      <w:r w:rsidRPr="00983F71">
        <w:rPr>
          <w:rFonts w:ascii="Arial" w:eastAsia="Times New Roman" w:hAnsi="Arial" w:cs="Arial"/>
          <w:bCs/>
          <w:sz w:val="20"/>
          <w:szCs w:val="20"/>
          <w:u w:val="single"/>
          <w:lang w:eastAsia="pt-BR"/>
        </w:rPr>
        <w:t>penas os motivos pelos quais a equipe de planejamento permitirá ou não a adesão à ARP</w:t>
      </w:r>
      <w:r w:rsidRPr="00983F71">
        <w:rPr>
          <w:rFonts w:ascii="Arial" w:eastAsia="Times New Roman" w:hAnsi="Arial" w:cs="Arial"/>
          <w:bCs/>
          <w:sz w:val="20"/>
          <w:szCs w:val="20"/>
          <w:lang w:eastAsia="pt-BR"/>
        </w:rPr>
        <w:t>.</w:t>
      </w:r>
    </w:p>
    <w:p w:rsidR="00983F71" w:rsidRPr="00983F71" w:rsidRDefault="00983F71" w:rsidP="00983F7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983F71">
        <w:rPr>
          <w:rFonts w:ascii="Arial" w:eastAsia="Times New Roman" w:hAnsi="Arial" w:cs="Arial"/>
          <w:bCs/>
          <w:sz w:val="20"/>
          <w:szCs w:val="20"/>
          <w:lang w:eastAsia="pt-BR"/>
        </w:rPr>
        <w:t>Destaca-se que não é necessário trazer o regramento relacionado à forma/procedimento como ocorrerá eventual adesão, vez que a minuta de edital já traz esse conteúdo como redação padronizada.</w:t>
      </w:r>
    </w:p>
    <w:p w:rsidR="00983F71" w:rsidRPr="00983F71" w:rsidRDefault="00983F71" w:rsidP="00983F71">
      <w:pPr>
        <w:spacing w:after="0" w:line="240" w:lineRule="auto"/>
        <w:jc w:val="both"/>
        <w:rPr>
          <w:rFonts w:ascii="Arial" w:eastAsia="Times New Roman" w:hAnsi="Arial" w:cs="Arial"/>
          <w:sz w:val="20"/>
          <w:szCs w:val="20"/>
          <w:lang w:eastAsia="pt-BR"/>
        </w:rPr>
      </w:pPr>
    </w:p>
    <w:p w:rsidR="00983F71" w:rsidRPr="00983F71" w:rsidRDefault="00983F71" w:rsidP="00983F71">
      <w:pPr>
        <w:spacing w:after="0" w:line="240" w:lineRule="auto"/>
        <w:jc w:val="both"/>
        <w:rPr>
          <w:rFonts w:ascii="Times New Roman" w:eastAsia="Times New Roman" w:hAnsi="Times New Roman" w:cs="Times New Roman"/>
          <w:b/>
          <w:bCs/>
          <w:color w:val="FF0000"/>
          <w:sz w:val="26"/>
          <w:szCs w:val="26"/>
          <w:lang w:eastAsia="pt-BR"/>
        </w:rPr>
      </w:pPr>
    </w:p>
    <w:p w:rsidR="00983F71" w:rsidRPr="00983F71" w:rsidRDefault="00983F71" w:rsidP="00983F71">
      <w:pPr>
        <w:spacing w:after="0" w:line="240" w:lineRule="auto"/>
        <w:jc w:val="both"/>
        <w:rPr>
          <w:rFonts w:ascii="Arial" w:eastAsia="Times New Roman" w:hAnsi="Arial" w:cs="Arial"/>
          <w:b/>
          <w:bCs/>
          <w:sz w:val="20"/>
          <w:szCs w:val="20"/>
          <w:lang w:eastAsia="pt-BR"/>
        </w:rPr>
      </w:pPr>
    </w:p>
    <w:p w:rsidR="00983F71" w:rsidRPr="00983F71" w:rsidRDefault="00983F71" w:rsidP="00983F71">
      <w:pPr>
        <w:spacing w:after="0" w:line="240" w:lineRule="auto"/>
        <w:jc w:val="both"/>
        <w:rPr>
          <w:rFonts w:ascii="Times New Roman" w:eastAsia="Times New Roman" w:hAnsi="Times New Roman" w:cs="Times New Roman"/>
          <w:sz w:val="26"/>
          <w:szCs w:val="26"/>
          <w:lang w:eastAsia="pt-BR"/>
        </w:rPr>
      </w:pPr>
      <w:r w:rsidRPr="00983F71">
        <w:rPr>
          <w:rFonts w:ascii="Arial" w:eastAsia="Arial" w:hAnsi="Arial" w:cs="Arial"/>
          <w:color w:val="000000" w:themeColor="text1"/>
          <w:sz w:val="20"/>
          <w:szCs w:val="20"/>
          <w:lang w:eastAsia="pt-BR"/>
        </w:rPr>
        <w:t>CERTIFICO que o Termo de Referência seguiu a minuta-padrão disponibilizada e aprovada pela Decisão PGE/MS/GAB/</w:t>
      </w:r>
      <w:r w:rsidRPr="00983F71">
        <w:rPr>
          <w:rFonts w:ascii="Arial" w:eastAsia="Arial" w:hAnsi="Arial" w:cs="Arial"/>
          <w:color w:val="000000" w:themeColor="text1"/>
          <w:sz w:val="20"/>
          <w:szCs w:val="20"/>
          <w:highlight w:val="yellow"/>
          <w:lang w:eastAsia="pt-BR"/>
        </w:rPr>
        <w:t>N..../2022</w:t>
      </w:r>
      <w:r w:rsidRPr="00983F71">
        <w:rPr>
          <w:rFonts w:ascii="Arial" w:eastAsia="Arial" w:hAnsi="Arial" w:cs="Arial"/>
          <w:color w:val="000000" w:themeColor="text1"/>
          <w:sz w:val="20"/>
          <w:szCs w:val="20"/>
          <w:lang w:eastAsia="pt-BR"/>
        </w:rPr>
        <w:t xml:space="preserve">, em sua versão </w:t>
      </w:r>
      <w:r w:rsidRPr="00983F71">
        <w:rPr>
          <w:rFonts w:ascii="Arial" w:eastAsia="Arial" w:hAnsi="Arial" w:cs="Arial"/>
          <w:color w:val="FF0000"/>
          <w:sz w:val="20"/>
          <w:szCs w:val="20"/>
          <w:highlight w:val="yellow"/>
          <w:lang w:eastAsia="pt-BR"/>
        </w:rPr>
        <w:t>........... (indicação da versão)</w:t>
      </w:r>
      <w:r w:rsidRPr="00983F71">
        <w:rPr>
          <w:rFonts w:ascii="Arial" w:eastAsia="Arial" w:hAnsi="Arial" w:cs="Arial"/>
          <w:color w:val="000000" w:themeColor="text1"/>
          <w:sz w:val="20"/>
          <w:szCs w:val="20"/>
          <w:lang w:eastAsia="pt-BR"/>
        </w:rPr>
        <w:t xml:space="preserve">  disponibilizada no site </w:t>
      </w:r>
      <w:hyperlink r:id="rId9">
        <w:r w:rsidRPr="00983F71">
          <w:rPr>
            <w:rFonts w:ascii="Arial" w:eastAsia="Arial" w:hAnsi="Arial" w:cs="Arial"/>
            <w:color w:val="0000FF"/>
            <w:sz w:val="20"/>
            <w:szCs w:val="20"/>
            <w:u w:val="single"/>
            <w:lang w:eastAsia="pt-BR"/>
          </w:rPr>
          <w:t>www.pge.ms.gov.br.</w:t>
        </w:r>
      </w:hyperlink>
    </w:p>
    <w:p w:rsidR="00983F71" w:rsidRPr="00983F71" w:rsidRDefault="00983F71" w:rsidP="00983F71">
      <w:pPr>
        <w:spacing w:after="0" w:line="240" w:lineRule="auto"/>
        <w:jc w:val="both"/>
        <w:rPr>
          <w:rFonts w:ascii="Times New Roman" w:eastAsia="Times New Roman" w:hAnsi="Times New Roman" w:cs="Times New Roman"/>
          <w:b/>
          <w:bCs/>
          <w:sz w:val="26"/>
          <w:szCs w:val="26"/>
          <w:lang w:eastAsia="pt-BR"/>
        </w:rPr>
      </w:pPr>
    </w:p>
    <w:p w:rsidR="00983F71" w:rsidRPr="00983F71" w:rsidRDefault="00983F71" w:rsidP="00983F71">
      <w:pPr>
        <w:spacing w:after="0" w:line="240" w:lineRule="auto"/>
        <w:jc w:val="both"/>
        <w:rPr>
          <w:rFonts w:ascii="Times New Roman" w:eastAsia="Times New Roman" w:hAnsi="Times New Roman" w:cs="Times New Roman"/>
          <w:b/>
          <w:bCs/>
          <w:sz w:val="26"/>
          <w:szCs w:val="26"/>
          <w:lang w:eastAsia="pt-BR"/>
        </w:rPr>
      </w:pPr>
    </w:p>
    <w:p w:rsidR="00983F71" w:rsidRPr="00983F71" w:rsidRDefault="00983F71" w:rsidP="00983F71">
      <w:pPr>
        <w:spacing w:after="0" w:line="240" w:lineRule="auto"/>
        <w:jc w:val="both"/>
        <w:rPr>
          <w:rFonts w:ascii="Arial" w:eastAsia="Times New Roman" w:hAnsi="Arial" w:cs="Arial"/>
          <w:sz w:val="20"/>
          <w:szCs w:val="24"/>
          <w:lang w:eastAsia="pt-BR"/>
        </w:rPr>
      </w:pPr>
      <w:r w:rsidRPr="00983F71">
        <w:rPr>
          <w:rFonts w:ascii="Arial" w:eastAsia="Times New Roman" w:hAnsi="Arial" w:cs="Arial"/>
          <w:sz w:val="20"/>
          <w:szCs w:val="24"/>
          <w:lang w:eastAsia="pt-BR"/>
        </w:rPr>
        <w:t>(assinatura)</w:t>
      </w:r>
    </w:p>
    <w:p w:rsidR="00983F71" w:rsidRPr="00983F71" w:rsidRDefault="00983F71" w:rsidP="00983F71">
      <w:pPr>
        <w:spacing w:after="0" w:line="240" w:lineRule="auto"/>
        <w:jc w:val="both"/>
        <w:rPr>
          <w:rFonts w:ascii="Arial" w:eastAsia="Times New Roman" w:hAnsi="Arial" w:cs="Arial"/>
          <w:sz w:val="20"/>
          <w:szCs w:val="24"/>
          <w:lang w:eastAsia="pt-BR"/>
        </w:rPr>
      </w:pPr>
      <w:r w:rsidRPr="00983F71">
        <w:rPr>
          <w:rFonts w:ascii="Arial" w:eastAsia="Times New Roman" w:hAnsi="Arial" w:cs="Arial"/>
          <w:sz w:val="20"/>
          <w:szCs w:val="24"/>
          <w:lang w:eastAsia="pt-BR"/>
        </w:rPr>
        <w:t>Identificação do servidor/ equipe responsável pela elaboração do termo de referência</w:t>
      </w: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spacing w:after="0" w:line="240" w:lineRule="auto"/>
        <w:jc w:val="both"/>
        <w:rPr>
          <w:rFonts w:ascii="Arial" w:eastAsia="Times New Roman" w:hAnsi="Arial" w:cs="Arial"/>
          <w:sz w:val="20"/>
          <w:szCs w:val="24"/>
          <w:lang w:eastAsia="pt-BR"/>
        </w:rPr>
      </w:pPr>
    </w:p>
    <w:p w:rsidR="00983F71" w:rsidRPr="00983F71" w:rsidRDefault="00983F71" w:rsidP="00983F71">
      <w:pPr>
        <w:spacing w:after="0" w:line="240" w:lineRule="auto"/>
        <w:jc w:val="both"/>
        <w:rPr>
          <w:rFonts w:ascii="Arial" w:eastAsia="Times New Roman" w:hAnsi="Arial" w:cs="Arial"/>
          <w:sz w:val="20"/>
          <w:szCs w:val="24"/>
          <w:lang w:eastAsia="pt-BR"/>
        </w:rPr>
      </w:pPr>
      <w:r w:rsidRPr="00983F71">
        <w:rPr>
          <w:rFonts w:ascii="Arial" w:eastAsia="Times New Roman" w:hAnsi="Arial" w:cs="Arial"/>
          <w:sz w:val="20"/>
          <w:szCs w:val="24"/>
          <w:lang w:eastAsia="pt-BR"/>
        </w:rPr>
        <w:t>(assinatura)</w:t>
      </w: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r w:rsidRPr="00983F71">
        <w:rPr>
          <w:rFonts w:ascii="Arial" w:eastAsia="Times New Roman" w:hAnsi="Arial" w:cs="Arial"/>
          <w:b/>
          <w:color w:val="FF0000"/>
          <w:sz w:val="20"/>
          <w:szCs w:val="24"/>
          <w:lang w:eastAsia="pt-BR"/>
        </w:rPr>
        <w:t>Ordenador de Despesa</w:t>
      </w:r>
    </w:p>
    <w:p w:rsidR="00983F71" w:rsidRPr="00983F71" w:rsidRDefault="00983F71" w:rsidP="00983F71">
      <w:pPr>
        <w:spacing w:after="0" w:line="240" w:lineRule="auto"/>
        <w:jc w:val="both"/>
        <w:rPr>
          <w:rFonts w:ascii="Arial" w:eastAsia="Times New Roman" w:hAnsi="Arial" w:cs="Arial"/>
          <w:b/>
          <w:color w:val="FF0000"/>
          <w:sz w:val="20"/>
          <w:szCs w:val="24"/>
          <w:lang w:eastAsia="pt-BR"/>
        </w:rPr>
      </w:pPr>
    </w:p>
    <w:p w:rsidR="005F75DB" w:rsidRDefault="00983F71" w:rsidP="00983F71">
      <w:r w:rsidRPr="00983F71">
        <w:rPr>
          <w:rFonts w:ascii="Arial" w:eastAsia="Times New Roman" w:hAnsi="Arial" w:cs="Arial"/>
          <w:i/>
          <w:color w:val="FF0000"/>
          <w:sz w:val="20"/>
          <w:szCs w:val="24"/>
          <w:lang w:eastAsia="pt-BR"/>
        </w:rPr>
        <w:t>Obs.: aprovação do Termo de Referência pela autoridade competente ou por quem esta delegar (art. 11, §§ 1º e 2º do Decreto 15.524/2020). Caso ocorra a delegação, deve restar comprovado que o signatário se encontra investido da função de ordenador de despesa.</w:t>
      </w:r>
    </w:p>
    <w:sectPr w:rsidR="005F75DB">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F71" w:rsidRDefault="00983F71" w:rsidP="00983F71">
      <w:pPr>
        <w:spacing w:after="0" w:line="240" w:lineRule="auto"/>
      </w:pPr>
      <w:r>
        <w:separator/>
      </w:r>
    </w:p>
  </w:endnote>
  <w:endnote w:type="continuationSeparator" w:id="0">
    <w:p w:rsidR="00983F71" w:rsidRDefault="00983F71" w:rsidP="00983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Ecofont_Spranq_eco_Sans">
    <w:altName w:val="Calibri"/>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283" w:rsidRPr="00B14283" w:rsidRDefault="00B14283" w:rsidP="00B14283">
    <w:pPr>
      <w:pStyle w:val="Rodap"/>
      <w:pBdr>
        <w:top w:val="double" w:sz="4" w:space="1" w:color="auto"/>
      </w:pBdr>
      <w:tabs>
        <w:tab w:val="left" w:pos="709"/>
      </w:tabs>
      <w:ind w:right="360"/>
      <w:jc w:val="center"/>
      <w:rPr>
        <w:szCs w:val="18"/>
      </w:rPr>
    </w:pPr>
    <w:r w:rsidRPr="00B14283">
      <w:rPr>
        <w:rFonts w:ascii="Times New Roman" w:hAnsi="Times New Roman"/>
        <w:szCs w:val="18"/>
      </w:rPr>
      <w:t xml:space="preserve">Av. Des. José Nunes da Cunha, Bloco IV, Parque dos Poderes, Campo Grande/MS, CEP 79.031-310 </w:t>
    </w:r>
    <w:hyperlink r:id="rId1" w:history="1">
      <w:r w:rsidRPr="00B14283">
        <w:rPr>
          <w:rStyle w:val="Hyperlink"/>
          <w:szCs w:val="18"/>
        </w:rPr>
        <w:t>www.pge.ms.gov.br</w:t>
      </w:r>
    </w:hyperlink>
  </w:p>
  <w:p w:rsidR="00B14283" w:rsidRDefault="00B1428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F71" w:rsidRDefault="00983F71" w:rsidP="00983F71">
      <w:pPr>
        <w:spacing w:after="0" w:line="240" w:lineRule="auto"/>
      </w:pPr>
      <w:r>
        <w:separator/>
      </w:r>
    </w:p>
  </w:footnote>
  <w:footnote w:type="continuationSeparator" w:id="0">
    <w:p w:rsidR="00983F71" w:rsidRDefault="00983F71" w:rsidP="00983F71">
      <w:pPr>
        <w:spacing w:after="0" w:line="240" w:lineRule="auto"/>
      </w:pPr>
      <w:r>
        <w:continuationSeparator/>
      </w:r>
    </w:p>
  </w:footnote>
  <w:footnote w:id="1">
    <w:p w:rsidR="00983F71" w:rsidRDefault="00983F71" w:rsidP="00983F71">
      <w:pPr>
        <w:pStyle w:val="Textodenotaderodap"/>
      </w:pPr>
      <w:r>
        <w:rPr>
          <w:rStyle w:val="Refdenotaderodap"/>
        </w:rPr>
        <w:footnoteRef/>
      </w:r>
      <w:r>
        <w:t xml:space="preserve"> Definição trazida pela Instrução Normativa federal nº 5, de 26 de maio de 2017, aqui reproduzida devido a clareza na indicação do objetivo da planilha de custo.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B14283" w:rsidRPr="00C57E58" w:rsidTr="00291EFF">
      <w:trPr>
        <w:jc w:val="center"/>
      </w:trPr>
      <w:tc>
        <w:tcPr>
          <w:tcW w:w="2552" w:type="dxa"/>
          <w:tcBorders>
            <w:top w:val="nil"/>
            <w:left w:val="nil"/>
            <w:bottom w:val="nil"/>
            <w:right w:val="single" w:sz="4" w:space="0" w:color="auto"/>
          </w:tcBorders>
          <w:hideMark/>
        </w:tcPr>
        <w:p w:rsidR="00B14283" w:rsidRDefault="00B14283" w:rsidP="00B14283">
          <w:pPr>
            <w:pStyle w:val="Cabealho"/>
            <w:ind w:left="-105"/>
            <w:rPr>
              <w:bCs/>
              <w:sz w:val="26"/>
            </w:rPr>
          </w:pPr>
          <w:r w:rsidRPr="00B42DE7">
            <w:rPr>
              <w:noProof/>
              <w:sz w:val="26"/>
            </w:rPr>
            <w:drawing>
              <wp:inline distT="0" distB="0" distL="0" distR="0" wp14:anchorId="75621630" wp14:editId="4EFA27C6">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p w:rsidR="00B14283" w:rsidRDefault="00B14283" w:rsidP="00B14283">
          <w:pPr>
            <w:pStyle w:val="Cabealho"/>
            <w:ind w:left="-105"/>
            <w:rPr>
              <w:bCs/>
              <w:sz w:val="26"/>
            </w:rPr>
          </w:pPr>
        </w:p>
      </w:tc>
      <w:tc>
        <w:tcPr>
          <w:tcW w:w="3118" w:type="dxa"/>
          <w:tcBorders>
            <w:top w:val="nil"/>
            <w:left w:val="single" w:sz="4" w:space="0" w:color="auto"/>
            <w:bottom w:val="nil"/>
            <w:right w:val="nil"/>
          </w:tcBorders>
          <w:hideMark/>
        </w:tcPr>
        <w:p w:rsidR="00B14283" w:rsidRPr="00C57E58" w:rsidRDefault="00B14283" w:rsidP="00B14283">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SUCOMP</w:t>
          </w:r>
        </w:p>
        <w:p w:rsidR="00B14283" w:rsidRPr="00C57E58" w:rsidRDefault="00B14283" w:rsidP="00B14283">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r>
            <w:rPr>
              <w:rFonts w:ascii="Calibri Light" w:hAnsi="Calibri Light" w:cs="Calibri Light"/>
              <w:b/>
              <w:sz w:val="18"/>
              <w:szCs w:val="17"/>
            </w:rPr>
            <w:t>Supereintendencia de Gestão de Compas e Materiais</w:t>
          </w:r>
        </w:p>
      </w:tc>
    </w:tr>
  </w:tbl>
  <w:p w:rsidR="00B14283" w:rsidRDefault="00B1428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1A00507"/>
    <w:multiLevelType w:val="hybridMultilevel"/>
    <w:tmpl w:val="736A18EA"/>
    <w:lvl w:ilvl="0" w:tplc="CF708B96">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FE025F"/>
    <w:multiLevelType w:val="hybridMultilevel"/>
    <w:tmpl w:val="EED2AF3A"/>
    <w:lvl w:ilvl="0" w:tplc="D292DAE2">
      <w:start w:val="1"/>
      <w:numFmt w:val="lowerLetter"/>
      <w:lvlText w:val="%1)"/>
      <w:lvlJc w:val="left"/>
      <w:pPr>
        <w:tabs>
          <w:tab w:val="num" w:pos="3235"/>
        </w:tabs>
        <w:ind w:left="3235" w:hanging="405"/>
      </w:pPr>
      <w:rPr>
        <w:rFonts w:hint="default"/>
        <w:b/>
        <w:bCs/>
        <w:i w:val="0"/>
      </w:rPr>
    </w:lvl>
    <w:lvl w:ilvl="1" w:tplc="04160019" w:tentative="1">
      <w:start w:val="1"/>
      <w:numFmt w:val="lowerLetter"/>
      <w:lvlText w:val="%2."/>
      <w:lvlJc w:val="left"/>
      <w:pPr>
        <w:tabs>
          <w:tab w:val="num" w:pos="3565"/>
        </w:tabs>
        <w:ind w:left="3565" w:hanging="360"/>
      </w:pPr>
    </w:lvl>
    <w:lvl w:ilvl="2" w:tplc="0416001B" w:tentative="1">
      <w:start w:val="1"/>
      <w:numFmt w:val="lowerRoman"/>
      <w:lvlText w:val="%3."/>
      <w:lvlJc w:val="right"/>
      <w:pPr>
        <w:tabs>
          <w:tab w:val="num" w:pos="4285"/>
        </w:tabs>
        <w:ind w:left="4285" w:hanging="180"/>
      </w:pPr>
    </w:lvl>
    <w:lvl w:ilvl="3" w:tplc="0416000F" w:tentative="1">
      <w:start w:val="1"/>
      <w:numFmt w:val="decimal"/>
      <w:lvlText w:val="%4."/>
      <w:lvlJc w:val="left"/>
      <w:pPr>
        <w:tabs>
          <w:tab w:val="num" w:pos="5005"/>
        </w:tabs>
        <w:ind w:left="5005" w:hanging="360"/>
      </w:pPr>
    </w:lvl>
    <w:lvl w:ilvl="4" w:tplc="04160019" w:tentative="1">
      <w:start w:val="1"/>
      <w:numFmt w:val="lowerLetter"/>
      <w:lvlText w:val="%5."/>
      <w:lvlJc w:val="left"/>
      <w:pPr>
        <w:tabs>
          <w:tab w:val="num" w:pos="5725"/>
        </w:tabs>
        <w:ind w:left="5725" w:hanging="360"/>
      </w:pPr>
    </w:lvl>
    <w:lvl w:ilvl="5" w:tplc="0416001B" w:tentative="1">
      <w:start w:val="1"/>
      <w:numFmt w:val="lowerRoman"/>
      <w:lvlText w:val="%6."/>
      <w:lvlJc w:val="right"/>
      <w:pPr>
        <w:tabs>
          <w:tab w:val="num" w:pos="6445"/>
        </w:tabs>
        <w:ind w:left="6445" w:hanging="180"/>
      </w:pPr>
    </w:lvl>
    <w:lvl w:ilvl="6" w:tplc="0416000F" w:tentative="1">
      <w:start w:val="1"/>
      <w:numFmt w:val="decimal"/>
      <w:lvlText w:val="%7."/>
      <w:lvlJc w:val="left"/>
      <w:pPr>
        <w:tabs>
          <w:tab w:val="num" w:pos="7165"/>
        </w:tabs>
        <w:ind w:left="7165" w:hanging="360"/>
      </w:pPr>
    </w:lvl>
    <w:lvl w:ilvl="7" w:tplc="04160019" w:tentative="1">
      <w:start w:val="1"/>
      <w:numFmt w:val="lowerLetter"/>
      <w:lvlText w:val="%8."/>
      <w:lvlJc w:val="left"/>
      <w:pPr>
        <w:tabs>
          <w:tab w:val="num" w:pos="7885"/>
        </w:tabs>
        <w:ind w:left="7885" w:hanging="360"/>
      </w:pPr>
    </w:lvl>
    <w:lvl w:ilvl="8" w:tplc="0416001B" w:tentative="1">
      <w:start w:val="1"/>
      <w:numFmt w:val="lowerRoman"/>
      <w:lvlText w:val="%9."/>
      <w:lvlJc w:val="right"/>
      <w:pPr>
        <w:tabs>
          <w:tab w:val="num" w:pos="8605"/>
        </w:tabs>
        <w:ind w:left="8605" w:hanging="180"/>
      </w:pPr>
    </w:lvl>
  </w:abstractNum>
  <w:abstractNum w:abstractNumId="3" w15:restartNumberingAfterBreak="0">
    <w:nsid w:val="157C68D3"/>
    <w:multiLevelType w:val="hybridMultilevel"/>
    <w:tmpl w:val="C3E81F02"/>
    <w:lvl w:ilvl="0" w:tplc="F1AAC40A">
      <w:start w:val="1"/>
      <w:numFmt w:val="lowerLetter"/>
      <w:lvlText w:val="%1)"/>
      <w:lvlJc w:val="left"/>
      <w:pPr>
        <w:tabs>
          <w:tab w:val="num" w:pos="1068"/>
        </w:tabs>
        <w:ind w:left="1068" w:hanging="360"/>
      </w:pPr>
      <w:rPr>
        <w:b/>
        <w:bCs/>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15:restartNumberingAfterBreak="0">
    <w:nsid w:val="1D5C100D"/>
    <w:multiLevelType w:val="multilevel"/>
    <w:tmpl w:val="00EA5094"/>
    <w:lvl w:ilvl="0">
      <w:start w:val="1"/>
      <w:numFmt w:val="decimal"/>
      <w:pStyle w:val="Nivel01"/>
      <w:lvlText w:val="%1."/>
      <w:lvlJc w:val="left"/>
      <w:pPr>
        <w:ind w:left="643" w:hanging="360"/>
      </w:pPr>
      <w:rPr>
        <w:rFonts w:hint="default"/>
        <w:b/>
      </w:rPr>
    </w:lvl>
    <w:lvl w:ilvl="1">
      <w:start w:val="1"/>
      <w:numFmt w:val="decimal"/>
      <w:lvlText w:val="%1.%2."/>
      <w:lvlJc w:val="left"/>
      <w:pPr>
        <w:ind w:left="574" w:hanging="432"/>
      </w:pPr>
      <w:rPr>
        <w:rFonts w:ascii="Arial" w:hAnsi="Arial" w:cs="Arial" w:hint="default"/>
        <w:b w:val="0"/>
        <w:i w:val="0"/>
        <w:strike w:val="0"/>
        <w:color w:val="auto"/>
        <w:sz w:val="20"/>
        <w:szCs w:val="20"/>
        <w:u w:val="none"/>
      </w:rPr>
    </w:lvl>
    <w:lvl w:ilvl="2">
      <w:start w:val="1"/>
      <w:numFmt w:val="decimal"/>
      <w:lvlText w:val="%1.%2.%3."/>
      <w:lvlJc w:val="left"/>
      <w:pPr>
        <w:ind w:left="1496"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DCB2AE1"/>
    <w:multiLevelType w:val="hybridMultilevel"/>
    <w:tmpl w:val="51A80CF6"/>
    <w:lvl w:ilvl="0" w:tplc="92647DD8">
      <w:start w:val="1"/>
      <w:numFmt w:val="lowerLetter"/>
      <w:lvlText w:val="%1)"/>
      <w:lvlJc w:val="left"/>
      <w:pPr>
        <w:ind w:left="2083"/>
      </w:pPr>
      <w:rPr>
        <w:rFonts w:ascii="Arial" w:eastAsia="Times New Roman" w:hAnsi="Arial" w:cs="Arial" w:hint="default"/>
        <w:b/>
        <w:bCs/>
        <w:i w:val="0"/>
        <w:strike w:val="0"/>
        <w:dstrike w:val="0"/>
        <w:color w:val="000000"/>
        <w:sz w:val="20"/>
        <w:szCs w:val="20"/>
        <w:u w:val="none" w:color="000000"/>
        <w:bdr w:val="none" w:sz="0" w:space="0" w:color="auto"/>
        <w:shd w:val="clear" w:color="auto" w:fill="auto"/>
        <w:vertAlign w:val="baseline"/>
      </w:rPr>
    </w:lvl>
    <w:lvl w:ilvl="1" w:tplc="E20215B0">
      <w:start w:val="1"/>
      <w:numFmt w:val="lowerLetter"/>
      <w:lvlText w:val="%2"/>
      <w:lvlJc w:val="left"/>
      <w:pPr>
        <w:ind w:left="1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76DCE4">
      <w:start w:val="1"/>
      <w:numFmt w:val="lowerRoman"/>
      <w:lvlText w:val="%3"/>
      <w:lvlJc w:val="left"/>
      <w:pPr>
        <w:ind w:left="1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9CEC56">
      <w:start w:val="1"/>
      <w:numFmt w:val="decimal"/>
      <w:lvlText w:val="%4"/>
      <w:lvlJc w:val="left"/>
      <w:pPr>
        <w:ind w:left="2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966A8A">
      <w:start w:val="1"/>
      <w:numFmt w:val="lowerLetter"/>
      <w:lvlText w:val="%5"/>
      <w:lvlJc w:val="left"/>
      <w:pPr>
        <w:ind w:left="3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40C3AE">
      <w:start w:val="1"/>
      <w:numFmt w:val="lowerRoman"/>
      <w:lvlText w:val="%6"/>
      <w:lvlJc w:val="left"/>
      <w:pPr>
        <w:ind w:left="3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BE63E4">
      <w:start w:val="1"/>
      <w:numFmt w:val="decimal"/>
      <w:lvlText w:val="%7"/>
      <w:lvlJc w:val="left"/>
      <w:pPr>
        <w:ind w:left="4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AE3C2A">
      <w:start w:val="1"/>
      <w:numFmt w:val="lowerLetter"/>
      <w:lvlText w:val="%8"/>
      <w:lvlJc w:val="left"/>
      <w:pPr>
        <w:ind w:left="54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887720">
      <w:start w:val="1"/>
      <w:numFmt w:val="lowerRoman"/>
      <w:lvlText w:val="%9"/>
      <w:lvlJc w:val="left"/>
      <w:pPr>
        <w:ind w:left="6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DD07494"/>
    <w:multiLevelType w:val="hybridMultilevel"/>
    <w:tmpl w:val="86E22C2C"/>
    <w:lvl w:ilvl="0" w:tplc="EA3A351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5F7729"/>
    <w:multiLevelType w:val="hybridMultilevel"/>
    <w:tmpl w:val="E05006DA"/>
    <w:lvl w:ilvl="0" w:tplc="4E020BC0">
      <w:start w:val="1"/>
      <w:numFmt w:val="lowerLetter"/>
      <w:lvlText w:val="%1)"/>
      <w:lvlJc w:val="left"/>
      <w:pPr>
        <w:ind w:left="1494" w:hanging="360"/>
      </w:pPr>
      <w:rPr>
        <w:rFonts w:hint="default"/>
        <w:b/>
        <w:bCs/>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8" w15:restartNumberingAfterBreak="0">
    <w:nsid w:val="38083CB4"/>
    <w:multiLevelType w:val="multilevel"/>
    <w:tmpl w:val="13EA798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15:restartNumberingAfterBreak="0">
    <w:nsid w:val="3D33007A"/>
    <w:multiLevelType w:val="multilevel"/>
    <w:tmpl w:val="DF9C01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F87716F"/>
    <w:multiLevelType w:val="hybridMultilevel"/>
    <w:tmpl w:val="B6C2DB18"/>
    <w:lvl w:ilvl="0" w:tplc="D70EE81A">
      <w:start w:val="1"/>
      <w:numFmt w:val="lowerLetter"/>
      <w:lvlText w:val="%1)"/>
      <w:lvlJc w:val="left"/>
      <w:pPr>
        <w:ind w:left="2135"/>
      </w:pPr>
      <w:rPr>
        <w:rFonts w:ascii="Arial" w:eastAsia="Times New Roman" w:hAnsi="Arial" w:cs="Arial" w:hint="default"/>
        <w:b/>
        <w:bCs/>
        <w:i w:val="0"/>
        <w:strike w:val="0"/>
        <w:dstrike w:val="0"/>
        <w:color w:val="000000"/>
        <w:sz w:val="20"/>
        <w:szCs w:val="20"/>
        <w:u w:val="none" w:color="000000"/>
        <w:bdr w:val="none" w:sz="0" w:space="0" w:color="auto"/>
        <w:shd w:val="clear" w:color="auto" w:fill="auto"/>
        <w:vertAlign w:val="baseline"/>
      </w:rPr>
    </w:lvl>
    <w:lvl w:ilvl="1" w:tplc="F3105726">
      <w:start w:val="1"/>
      <w:numFmt w:val="lowerLetter"/>
      <w:lvlText w:val="%2"/>
      <w:lvlJc w:val="left"/>
      <w:pPr>
        <w:ind w:left="15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945F4E">
      <w:start w:val="1"/>
      <w:numFmt w:val="lowerRoman"/>
      <w:lvlText w:val="%3"/>
      <w:lvlJc w:val="left"/>
      <w:pPr>
        <w:ind w:left="22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A44B2E">
      <w:start w:val="1"/>
      <w:numFmt w:val="decimal"/>
      <w:lvlText w:val="%4"/>
      <w:lvlJc w:val="left"/>
      <w:pPr>
        <w:ind w:left="29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5E01B2">
      <w:start w:val="1"/>
      <w:numFmt w:val="lowerLetter"/>
      <w:lvlText w:val="%5"/>
      <w:lvlJc w:val="left"/>
      <w:pPr>
        <w:ind w:left="36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DAF2B2">
      <w:start w:val="1"/>
      <w:numFmt w:val="lowerRoman"/>
      <w:lvlText w:val="%6"/>
      <w:lvlJc w:val="left"/>
      <w:pPr>
        <w:ind w:left="43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66F902">
      <w:start w:val="1"/>
      <w:numFmt w:val="decimal"/>
      <w:lvlText w:val="%7"/>
      <w:lvlJc w:val="left"/>
      <w:pPr>
        <w:ind w:left="5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FEBBD0">
      <w:start w:val="1"/>
      <w:numFmt w:val="lowerLetter"/>
      <w:lvlText w:val="%8"/>
      <w:lvlJc w:val="left"/>
      <w:pPr>
        <w:ind w:left="58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6EB118">
      <w:start w:val="1"/>
      <w:numFmt w:val="lowerRoman"/>
      <w:lvlText w:val="%9"/>
      <w:lvlJc w:val="left"/>
      <w:pPr>
        <w:ind w:left="65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DD361E"/>
    <w:multiLevelType w:val="multilevel"/>
    <w:tmpl w:val="99829F54"/>
    <w:lvl w:ilvl="0">
      <w:start w:val="1"/>
      <w:numFmt w:val="decimal"/>
      <w:pStyle w:val="Nivel010"/>
      <w:suff w:val="space"/>
      <w:lvlText w:val="%1."/>
      <w:lvlJc w:val="left"/>
      <w:pPr>
        <w:ind w:left="0" w:firstLine="0"/>
      </w:pPr>
      <w:rPr>
        <w:b/>
        <w:i w:val="0"/>
      </w:rPr>
    </w:lvl>
    <w:lvl w:ilvl="1">
      <w:start w:val="1"/>
      <w:numFmt w:val="decimal"/>
      <w:suff w:val="space"/>
      <w:lvlText w:val="%1.%2."/>
      <w:lvlJc w:val="left"/>
      <w:pPr>
        <w:ind w:left="284" w:firstLine="0"/>
      </w:pPr>
      <w:rPr>
        <w:b w:val="0"/>
        <w:i w:val="0"/>
        <w:color w:val="auto"/>
      </w:rPr>
    </w:lvl>
    <w:lvl w:ilvl="2">
      <w:start w:val="1"/>
      <w:numFmt w:val="decimal"/>
      <w:suff w:val="space"/>
      <w:lvlText w:val="%1.%2.%3."/>
      <w:lvlJc w:val="left"/>
      <w:pPr>
        <w:ind w:left="567" w:firstLine="0"/>
      </w:pPr>
      <w:rPr>
        <w:b w:val="0"/>
        <w:i w:val="0"/>
      </w:rPr>
    </w:lvl>
    <w:lvl w:ilvl="3">
      <w:start w:val="1"/>
      <w:numFmt w:val="decimal"/>
      <w:suff w:val="space"/>
      <w:lvlText w:val="%1.%2.%3.%4."/>
      <w:lvlJc w:val="left"/>
      <w:pPr>
        <w:ind w:left="851" w:firstLine="0"/>
      </w:pPr>
      <w:rPr>
        <w:b/>
        <w:i w:val="0"/>
      </w:rPr>
    </w:lvl>
    <w:lvl w:ilvl="4">
      <w:start w:val="1"/>
      <w:numFmt w:val="decimal"/>
      <w:suff w:val="space"/>
      <w:lvlText w:val="%1.%2.%3.%4.%5."/>
      <w:lvlJc w:val="left"/>
      <w:pPr>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631F58FD"/>
    <w:multiLevelType w:val="hybridMultilevel"/>
    <w:tmpl w:val="E5B2965E"/>
    <w:lvl w:ilvl="0" w:tplc="C758F26A">
      <w:start w:val="1"/>
      <w:numFmt w:val="lowerLetter"/>
      <w:lvlText w:val="%1)"/>
      <w:lvlJc w:val="left"/>
      <w:pPr>
        <w:tabs>
          <w:tab w:val="num" w:pos="360"/>
        </w:tabs>
        <w:ind w:left="360" w:hanging="360"/>
      </w:pPr>
      <w:rPr>
        <w:rFonts w:hint="default"/>
        <w:b/>
        <w:color w:val="auto"/>
      </w:rPr>
    </w:lvl>
    <w:lvl w:ilvl="1" w:tplc="393E67B0">
      <w:start w:val="1"/>
      <w:numFmt w:val="lowerLetter"/>
      <w:lvlText w:val="%2)"/>
      <w:lvlJc w:val="left"/>
      <w:pPr>
        <w:tabs>
          <w:tab w:val="num" w:pos="1485"/>
        </w:tabs>
        <w:ind w:left="1485" w:hanging="405"/>
      </w:pPr>
      <w:rPr>
        <w:rFonts w:hint="default"/>
        <w:b/>
        <w:bCs/>
      </w:rPr>
    </w:lvl>
    <w:lvl w:ilvl="2" w:tplc="4356A956">
      <w:start w:val="1"/>
      <w:numFmt w:val="upperRoman"/>
      <w:lvlText w:val="%3."/>
      <w:lvlJc w:val="left"/>
      <w:pPr>
        <w:tabs>
          <w:tab w:val="num" w:pos="686"/>
        </w:tabs>
        <w:ind w:left="686" w:firstLine="0"/>
      </w:pPr>
      <w:rPr>
        <w:rFonts w:hint="default"/>
        <w:b/>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7D3D7283"/>
    <w:multiLevelType w:val="hybridMultilevel"/>
    <w:tmpl w:val="7CAAF5AA"/>
    <w:lvl w:ilvl="0" w:tplc="27D43354">
      <w:start w:val="1"/>
      <w:numFmt w:val="lowerLetter"/>
      <w:lvlText w:val="%1)"/>
      <w:lvlJc w:val="left"/>
      <w:pPr>
        <w:ind w:left="927" w:hanging="360"/>
      </w:pPr>
      <w:rPr>
        <w:rFonts w:hint="default"/>
        <w:b/>
        <w:bCs/>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5" w15:restartNumberingAfterBreak="0">
    <w:nsid w:val="7E914E40"/>
    <w:multiLevelType w:val="multilevel"/>
    <w:tmpl w:val="9522CB2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
  </w:num>
  <w:num w:numId="2">
    <w:abstractNumId w:val="13"/>
  </w:num>
  <w:num w:numId="3">
    <w:abstractNumId w:val="10"/>
  </w:num>
  <w:num w:numId="4">
    <w:abstractNumId w:val="5"/>
  </w:num>
  <w:num w:numId="5">
    <w:abstractNumId w:val="15"/>
  </w:num>
  <w:num w:numId="6">
    <w:abstractNumId w:val="9"/>
  </w:num>
  <w:num w:numId="7">
    <w:abstractNumId w:val="6"/>
  </w:num>
  <w:num w:numId="8">
    <w:abstractNumId w:val="4"/>
  </w:num>
  <w:num w:numId="9">
    <w:abstractNumId w:val="7"/>
  </w:num>
  <w:num w:numId="10">
    <w:abstractNumId w:val="14"/>
  </w:num>
  <w:num w:numId="11">
    <w:abstractNumId w:val="3"/>
  </w:num>
  <w:num w:numId="12">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0"/>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E7C"/>
    <w:rsid w:val="005F75DB"/>
    <w:rsid w:val="00983F71"/>
    <w:rsid w:val="00B14283"/>
    <w:rsid w:val="00F70E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111F77-335F-4631-9663-2CA00F42B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983F71"/>
    <w:pPr>
      <w:keepNext/>
      <w:suppressAutoHyphens/>
      <w:spacing w:after="0" w:line="240" w:lineRule="auto"/>
      <w:jc w:val="center"/>
      <w:outlineLvl w:val="0"/>
    </w:pPr>
    <w:rPr>
      <w:rFonts w:ascii="Arial" w:eastAsia="Times New Roman" w:hAnsi="Arial" w:cs="Times New Roman"/>
      <w:b/>
      <w:sz w:val="24"/>
      <w:szCs w:val="20"/>
      <w:lang w:eastAsia="ar-SA"/>
    </w:rPr>
  </w:style>
  <w:style w:type="paragraph" w:styleId="Ttulo2">
    <w:name w:val="heading 2"/>
    <w:basedOn w:val="Normal"/>
    <w:next w:val="Normal"/>
    <w:link w:val="Ttulo2Char"/>
    <w:qFormat/>
    <w:rsid w:val="00983F71"/>
    <w:pPr>
      <w:keepNext/>
      <w:suppressAutoHyphens/>
      <w:spacing w:after="0" w:line="240" w:lineRule="auto"/>
      <w:jc w:val="center"/>
      <w:outlineLvl w:val="1"/>
    </w:pPr>
    <w:rPr>
      <w:rFonts w:ascii="Arial" w:eastAsia="Times New Roman" w:hAnsi="Arial" w:cs="Times New Roman"/>
      <w:b/>
      <w:sz w:val="20"/>
      <w:szCs w:val="20"/>
      <w:lang w:eastAsia="ar-SA"/>
    </w:rPr>
  </w:style>
  <w:style w:type="paragraph" w:styleId="Ttulo3">
    <w:name w:val="heading 3"/>
    <w:basedOn w:val="Normal"/>
    <w:next w:val="Normal"/>
    <w:link w:val="Ttulo3Char"/>
    <w:qFormat/>
    <w:rsid w:val="00983F71"/>
    <w:pPr>
      <w:keepNext/>
      <w:suppressAutoHyphens/>
      <w:spacing w:after="0" w:line="240" w:lineRule="auto"/>
      <w:ind w:left="-27"/>
      <w:jc w:val="center"/>
      <w:outlineLvl w:val="2"/>
    </w:pPr>
    <w:rPr>
      <w:rFonts w:ascii="Arial" w:eastAsia="Times New Roman" w:hAnsi="Arial" w:cs="Times New Roman"/>
      <w:b/>
      <w:szCs w:val="20"/>
      <w:lang w:eastAsia="ar-SA"/>
    </w:rPr>
  </w:style>
  <w:style w:type="paragraph" w:styleId="Ttulo4">
    <w:name w:val="heading 4"/>
    <w:basedOn w:val="Normal"/>
    <w:next w:val="Normal"/>
    <w:link w:val="Ttulo4Char"/>
    <w:qFormat/>
    <w:rsid w:val="00983F71"/>
    <w:pPr>
      <w:keepNext/>
      <w:suppressAutoHyphens/>
      <w:spacing w:after="0" w:line="240" w:lineRule="auto"/>
      <w:jc w:val="both"/>
      <w:outlineLvl w:val="3"/>
    </w:pPr>
    <w:rPr>
      <w:rFonts w:ascii="Arial" w:eastAsia="Times New Roman" w:hAnsi="Arial" w:cs="Times New Roman"/>
      <w:sz w:val="24"/>
      <w:szCs w:val="20"/>
      <w:lang w:val="x-none" w:eastAsia="ar-SA"/>
    </w:rPr>
  </w:style>
  <w:style w:type="paragraph" w:styleId="Ttulo5">
    <w:name w:val="heading 5"/>
    <w:basedOn w:val="Normal"/>
    <w:next w:val="Normal"/>
    <w:link w:val="Ttulo5Char"/>
    <w:qFormat/>
    <w:rsid w:val="00983F71"/>
    <w:pPr>
      <w:keepNext/>
      <w:suppressAutoHyphens/>
      <w:spacing w:after="0" w:line="360" w:lineRule="auto"/>
      <w:jc w:val="center"/>
      <w:outlineLvl w:val="4"/>
    </w:pPr>
    <w:rPr>
      <w:rFonts w:ascii="Times New Roman" w:eastAsia="Times New Roman" w:hAnsi="Times New Roman" w:cs="Times New Roman"/>
      <w:b/>
      <w:sz w:val="24"/>
      <w:szCs w:val="20"/>
      <w:lang w:eastAsia="ar-SA"/>
    </w:rPr>
  </w:style>
  <w:style w:type="paragraph" w:styleId="Ttulo6">
    <w:name w:val="heading 6"/>
    <w:basedOn w:val="Normal"/>
    <w:next w:val="Normal"/>
    <w:link w:val="Ttulo6Char"/>
    <w:qFormat/>
    <w:rsid w:val="00983F71"/>
    <w:pPr>
      <w:keepNext/>
      <w:suppressAutoHyphens/>
      <w:spacing w:after="0" w:line="240" w:lineRule="auto"/>
      <w:jc w:val="center"/>
      <w:outlineLvl w:val="5"/>
    </w:pPr>
    <w:rPr>
      <w:rFonts w:ascii="Arial" w:eastAsia="Times New Roman" w:hAnsi="Arial" w:cs="Times New Roman"/>
      <w:b/>
      <w:szCs w:val="20"/>
      <w:lang w:eastAsia="ar-SA"/>
    </w:rPr>
  </w:style>
  <w:style w:type="paragraph" w:styleId="Ttulo7">
    <w:name w:val="heading 7"/>
    <w:basedOn w:val="Normal"/>
    <w:next w:val="Normal"/>
    <w:link w:val="Ttulo7Char"/>
    <w:qFormat/>
    <w:rsid w:val="00983F71"/>
    <w:pPr>
      <w:keepNext/>
      <w:suppressAutoHyphens/>
      <w:spacing w:after="0" w:line="240" w:lineRule="auto"/>
      <w:jc w:val="center"/>
      <w:outlineLvl w:val="6"/>
    </w:pPr>
    <w:rPr>
      <w:rFonts w:ascii="Times New Roman" w:eastAsia="Times New Roman" w:hAnsi="Times New Roman" w:cs="Times New Roman"/>
      <w:b/>
      <w:sz w:val="28"/>
      <w:szCs w:val="20"/>
      <w:lang w:eastAsia="ar-SA"/>
    </w:rPr>
  </w:style>
  <w:style w:type="paragraph" w:styleId="Ttulo8">
    <w:name w:val="heading 8"/>
    <w:basedOn w:val="Normal"/>
    <w:next w:val="Normal"/>
    <w:link w:val="Ttulo8Char"/>
    <w:qFormat/>
    <w:rsid w:val="00983F71"/>
    <w:pPr>
      <w:keepNext/>
      <w:suppressAutoHyphens/>
      <w:spacing w:after="0" w:line="240" w:lineRule="auto"/>
      <w:jc w:val="center"/>
      <w:outlineLvl w:val="7"/>
    </w:pPr>
    <w:rPr>
      <w:rFonts w:ascii="Arial" w:eastAsia="Times New Roman" w:hAnsi="Arial" w:cs="Times New Roman"/>
      <w:b/>
      <w:caps/>
      <w:sz w:val="18"/>
      <w:szCs w:val="20"/>
      <w:lang w:val="x-none" w:eastAsia="ar-SA"/>
    </w:rPr>
  </w:style>
  <w:style w:type="paragraph" w:styleId="Ttulo9">
    <w:name w:val="heading 9"/>
    <w:basedOn w:val="Normal"/>
    <w:next w:val="Normal"/>
    <w:link w:val="Ttulo9Char"/>
    <w:qFormat/>
    <w:rsid w:val="00983F71"/>
    <w:pPr>
      <w:keepNext/>
      <w:suppressAutoHyphens/>
      <w:spacing w:after="0" w:line="240" w:lineRule="auto"/>
      <w:ind w:left="3261"/>
      <w:outlineLvl w:val="8"/>
    </w:pPr>
    <w:rPr>
      <w:rFonts w:ascii="Arial" w:eastAsia="Times New Roman" w:hAnsi="Arial" w:cs="Times New Roman"/>
      <w:b/>
      <w:sz w:val="24"/>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83F71"/>
    <w:rPr>
      <w:rFonts w:ascii="Arial" w:eastAsia="Times New Roman" w:hAnsi="Arial" w:cs="Times New Roman"/>
      <w:b/>
      <w:sz w:val="24"/>
      <w:szCs w:val="20"/>
      <w:lang w:eastAsia="ar-SA"/>
    </w:rPr>
  </w:style>
  <w:style w:type="character" w:customStyle="1" w:styleId="Ttulo2Char">
    <w:name w:val="Título 2 Char"/>
    <w:basedOn w:val="Fontepargpadro"/>
    <w:link w:val="Ttulo2"/>
    <w:rsid w:val="00983F71"/>
    <w:rPr>
      <w:rFonts w:ascii="Arial" w:eastAsia="Times New Roman" w:hAnsi="Arial" w:cs="Times New Roman"/>
      <w:b/>
      <w:sz w:val="20"/>
      <w:szCs w:val="20"/>
      <w:lang w:eastAsia="ar-SA"/>
    </w:rPr>
  </w:style>
  <w:style w:type="character" w:customStyle="1" w:styleId="Ttulo3Char">
    <w:name w:val="Título 3 Char"/>
    <w:basedOn w:val="Fontepargpadro"/>
    <w:link w:val="Ttulo3"/>
    <w:rsid w:val="00983F71"/>
    <w:rPr>
      <w:rFonts w:ascii="Arial" w:eastAsia="Times New Roman" w:hAnsi="Arial" w:cs="Times New Roman"/>
      <w:b/>
      <w:szCs w:val="20"/>
      <w:lang w:eastAsia="ar-SA"/>
    </w:rPr>
  </w:style>
  <w:style w:type="character" w:customStyle="1" w:styleId="Ttulo4Char">
    <w:name w:val="Título 4 Char"/>
    <w:basedOn w:val="Fontepargpadro"/>
    <w:link w:val="Ttulo4"/>
    <w:rsid w:val="00983F71"/>
    <w:rPr>
      <w:rFonts w:ascii="Arial" w:eastAsia="Times New Roman" w:hAnsi="Arial" w:cs="Times New Roman"/>
      <w:sz w:val="24"/>
      <w:szCs w:val="20"/>
      <w:lang w:val="x-none" w:eastAsia="ar-SA"/>
    </w:rPr>
  </w:style>
  <w:style w:type="character" w:customStyle="1" w:styleId="Ttulo5Char">
    <w:name w:val="Título 5 Char"/>
    <w:basedOn w:val="Fontepargpadro"/>
    <w:link w:val="Ttulo5"/>
    <w:rsid w:val="00983F71"/>
    <w:rPr>
      <w:rFonts w:ascii="Times New Roman" w:eastAsia="Times New Roman" w:hAnsi="Times New Roman" w:cs="Times New Roman"/>
      <w:b/>
      <w:sz w:val="24"/>
      <w:szCs w:val="20"/>
      <w:lang w:eastAsia="ar-SA"/>
    </w:rPr>
  </w:style>
  <w:style w:type="character" w:customStyle="1" w:styleId="Ttulo6Char">
    <w:name w:val="Título 6 Char"/>
    <w:basedOn w:val="Fontepargpadro"/>
    <w:link w:val="Ttulo6"/>
    <w:rsid w:val="00983F71"/>
    <w:rPr>
      <w:rFonts w:ascii="Arial" w:eastAsia="Times New Roman" w:hAnsi="Arial" w:cs="Times New Roman"/>
      <w:b/>
      <w:szCs w:val="20"/>
      <w:lang w:eastAsia="ar-SA"/>
    </w:rPr>
  </w:style>
  <w:style w:type="character" w:customStyle="1" w:styleId="Ttulo7Char">
    <w:name w:val="Título 7 Char"/>
    <w:basedOn w:val="Fontepargpadro"/>
    <w:link w:val="Ttulo7"/>
    <w:rsid w:val="00983F71"/>
    <w:rPr>
      <w:rFonts w:ascii="Times New Roman" w:eastAsia="Times New Roman" w:hAnsi="Times New Roman" w:cs="Times New Roman"/>
      <w:b/>
      <w:sz w:val="28"/>
      <w:szCs w:val="20"/>
      <w:lang w:eastAsia="ar-SA"/>
    </w:rPr>
  </w:style>
  <w:style w:type="character" w:customStyle="1" w:styleId="Ttulo8Char">
    <w:name w:val="Título 8 Char"/>
    <w:basedOn w:val="Fontepargpadro"/>
    <w:link w:val="Ttulo8"/>
    <w:rsid w:val="00983F71"/>
    <w:rPr>
      <w:rFonts w:ascii="Arial" w:eastAsia="Times New Roman" w:hAnsi="Arial" w:cs="Times New Roman"/>
      <w:b/>
      <w:caps/>
      <w:sz w:val="18"/>
      <w:szCs w:val="20"/>
      <w:lang w:val="x-none" w:eastAsia="ar-SA"/>
    </w:rPr>
  </w:style>
  <w:style w:type="character" w:customStyle="1" w:styleId="Ttulo9Char">
    <w:name w:val="Título 9 Char"/>
    <w:basedOn w:val="Fontepargpadro"/>
    <w:link w:val="Ttulo9"/>
    <w:rsid w:val="00983F71"/>
    <w:rPr>
      <w:rFonts w:ascii="Arial" w:eastAsia="Times New Roman" w:hAnsi="Arial" w:cs="Times New Roman"/>
      <w:b/>
      <w:sz w:val="24"/>
      <w:szCs w:val="20"/>
      <w:lang w:eastAsia="ar-SA"/>
    </w:rPr>
  </w:style>
  <w:style w:type="numbering" w:customStyle="1" w:styleId="Semlista1">
    <w:name w:val="Sem lista1"/>
    <w:next w:val="Semlista"/>
    <w:uiPriority w:val="99"/>
    <w:semiHidden/>
    <w:unhideWhenUsed/>
    <w:rsid w:val="00983F71"/>
  </w:style>
  <w:style w:type="paragraph" w:styleId="Cabealho">
    <w:name w:val="header"/>
    <w:aliases w:val="Cabeçalho superior,Heading 1a,h,he,HeaderNN,Cabeçalho1"/>
    <w:basedOn w:val="Normal"/>
    <w:link w:val="CabealhoChar"/>
    <w:uiPriority w:val="99"/>
    <w:rsid w:val="00983F71"/>
    <w:pPr>
      <w:tabs>
        <w:tab w:val="center" w:pos="4419"/>
        <w:tab w:val="right" w:pos="8838"/>
      </w:tabs>
      <w:spacing w:after="0" w:line="240" w:lineRule="auto"/>
      <w:jc w:val="center"/>
    </w:pPr>
    <w:rPr>
      <w:rFonts w:ascii="Bookman Old Style" w:eastAsia="Times New Roman" w:hAnsi="Bookman Old Style" w:cs="Times New Roman"/>
      <w:b/>
      <w:spacing w:val="46"/>
      <w:sz w:val="28"/>
      <w:szCs w:val="20"/>
      <w:lang w:eastAsia="pt-BR"/>
    </w:rPr>
  </w:style>
  <w:style w:type="character" w:customStyle="1" w:styleId="CabealhoChar">
    <w:name w:val="Cabeçalho Char"/>
    <w:aliases w:val="Cabeçalho superior Char,Heading 1a Char,h Char,he Char,HeaderNN Char,Cabeçalho1 Char"/>
    <w:basedOn w:val="Fontepargpadro"/>
    <w:link w:val="Cabealho"/>
    <w:uiPriority w:val="99"/>
    <w:rsid w:val="00983F71"/>
    <w:rPr>
      <w:rFonts w:ascii="Bookman Old Style" w:eastAsia="Times New Roman" w:hAnsi="Bookman Old Style" w:cs="Times New Roman"/>
      <w:b/>
      <w:spacing w:val="46"/>
      <w:sz w:val="28"/>
      <w:szCs w:val="20"/>
      <w:lang w:eastAsia="pt-BR"/>
    </w:rPr>
  </w:style>
  <w:style w:type="paragraph" w:styleId="Rodap">
    <w:name w:val="footer"/>
    <w:basedOn w:val="Normal"/>
    <w:link w:val="RodapChar"/>
    <w:rsid w:val="00983F71"/>
    <w:pPr>
      <w:tabs>
        <w:tab w:val="center" w:pos="4419"/>
        <w:tab w:val="right" w:pos="8838"/>
      </w:tabs>
      <w:spacing w:after="0" w:line="240" w:lineRule="auto"/>
      <w:jc w:val="both"/>
    </w:pPr>
    <w:rPr>
      <w:rFonts w:ascii="Bookman Old Style" w:eastAsia="Times New Roman" w:hAnsi="Bookman Old Style" w:cs="Times New Roman"/>
      <w:b/>
      <w:sz w:val="18"/>
      <w:szCs w:val="20"/>
      <w:lang w:eastAsia="pt-BR"/>
    </w:rPr>
  </w:style>
  <w:style w:type="character" w:customStyle="1" w:styleId="RodapChar">
    <w:name w:val="Rodapé Char"/>
    <w:basedOn w:val="Fontepargpadro"/>
    <w:link w:val="Rodap"/>
    <w:rsid w:val="00983F71"/>
    <w:rPr>
      <w:rFonts w:ascii="Bookman Old Style" w:eastAsia="Times New Roman" w:hAnsi="Bookman Old Style" w:cs="Times New Roman"/>
      <w:b/>
      <w:sz w:val="18"/>
      <w:szCs w:val="20"/>
      <w:lang w:eastAsia="pt-BR"/>
    </w:rPr>
  </w:style>
  <w:style w:type="character" w:styleId="Hyperlink">
    <w:name w:val="Hyperlink"/>
    <w:basedOn w:val="Fontepargpadro"/>
    <w:uiPriority w:val="99"/>
    <w:rsid w:val="00983F71"/>
    <w:rPr>
      <w:color w:val="0000FF"/>
      <w:u w:val="single"/>
    </w:rPr>
  </w:style>
  <w:style w:type="character" w:styleId="Nmerodepgina">
    <w:name w:val="page number"/>
    <w:basedOn w:val="Fontepargpadro"/>
    <w:rsid w:val="00983F71"/>
  </w:style>
  <w:style w:type="paragraph" w:styleId="Corpodetexto">
    <w:name w:val="Body Text"/>
    <w:basedOn w:val="Normal"/>
    <w:link w:val="CorpodetextoChar"/>
    <w:uiPriority w:val="99"/>
    <w:rsid w:val="00983F71"/>
    <w:pPr>
      <w:spacing w:after="0" w:line="240" w:lineRule="auto"/>
      <w:jc w:val="center"/>
    </w:pPr>
    <w:rPr>
      <w:rFonts w:ascii="Times New Roman" w:eastAsia="Times New Roman" w:hAnsi="Times New Roman" w:cs="Times New Roman"/>
      <w:b/>
      <w:sz w:val="32"/>
      <w:szCs w:val="24"/>
      <w:lang w:eastAsia="pt-BR"/>
    </w:rPr>
  </w:style>
  <w:style w:type="character" w:customStyle="1" w:styleId="CorpodetextoChar">
    <w:name w:val="Corpo de texto Char"/>
    <w:basedOn w:val="Fontepargpadro"/>
    <w:link w:val="Corpodetexto"/>
    <w:uiPriority w:val="99"/>
    <w:rsid w:val="00983F71"/>
    <w:rPr>
      <w:rFonts w:ascii="Times New Roman" w:eastAsia="Times New Roman" w:hAnsi="Times New Roman" w:cs="Times New Roman"/>
      <w:b/>
      <w:sz w:val="32"/>
      <w:szCs w:val="24"/>
      <w:lang w:eastAsia="pt-BR"/>
    </w:rPr>
  </w:style>
  <w:style w:type="paragraph" w:styleId="Corpodetexto2">
    <w:name w:val="Body Text 2"/>
    <w:basedOn w:val="Normal"/>
    <w:link w:val="Corpodetexto2Char"/>
    <w:rsid w:val="00983F71"/>
    <w:pPr>
      <w:spacing w:after="120" w:line="480" w:lineRule="auto"/>
      <w:jc w:val="both"/>
    </w:pPr>
    <w:rPr>
      <w:rFonts w:ascii="Times New Roman" w:eastAsia="Times New Roman" w:hAnsi="Times New Roman" w:cs="Times New Roman"/>
      <w:sz w:val="26"/>
      <w:szCs w:val="20"/>
      <w:lang w:eastAsia="pt-BR"/>
    </w:rPr>
  </w:style>
  <w:style w:type="character" w:customStyle="1" w:styleId="Corpodetexto2Char">
    <w:name w:val="Corpo de texto 2 Char"/>
    <w:basedOn w:val="Fontepargpadro"/>
    <w:link w:val="Corpodetexto2"/>
    <w:rsid w:val="00983F71"/>
    <w:rPr>
      <w:rFonts w:ascii="Times New Roman" w:eastAsia="Times New Roman" w:hAnsi="Times New Roman" w:cs="Times New Roman"/>
      <w:sz w:val="26"/>
      <w:szCs w:val="20"/>
      <w:lang w:eastAsia="pt-BR"/>
    </w:rPr>
  </w:style>
  <w:style w:type="paragraph" w:customStyle="1" w:styleId="Contestao">
    <w:name w:val="Contestação"/>
    <w:basedOn w:val="Recuodecorpodetexto2"/>
    <w:rsid w:val="00983F71"/>
    <w:pPr>
      <w:spacing w:before="120" w:after="0" w:line="360" w:lineRule="exact"/>
      <w:ind w:left="0" w:firstLine="2268"/>
    </w:pPr>
    <w:rPr>
      <w:rFonts w:ascii="Verdana" w:hAnsi="Verdana"/>
      <w:snapToGrid w:val="0"/>
      <w:color w:val="000000"/>
      <w:sz w:val="22"/>
    </w:rPr>
  </w:style>
  <w:style w:type="paragraph" w:styleId="Recuodecorpodetexto2">
    <w:name w:val="Body Text Indent 2"/>
    <w:basedOn w:val="Normal"/>
    <w:link w:val="Recuodecorpodetexto2Char"/>
    <w:unhideWhenUsed/>
    <w:rsid w:val="00983F71"/>
    <w:pPr>
      <w:spacing w:after="120" w:line="480" w:lineRule="auto"/>
      <w:ind w:left="283"/>
      <w:jc w:val="both"/>
    </w:pPr>
    <w:rPr>
      <w:rFonts w:ascii="Times New Roman" w:eastAsia="Times New Roman" w:hAnsi="Times New Roman" w:cs="Times New Roman"/>
      <w:sz w:val="26"/>
      <w:szCs w:val="20"/>
      <w:lang w:eastAsia="pt-BR"/>
    </w:rPr>
  </w:style>
  <w:style w:type="character" w:customStyle="1" w:styleId="Recuodecorpodetexto2Char">
    <w:name w:val="Recuo de corpo de texto 2 Char"/>
    <w:basedOn w:val="Fontepargpadro"/>
    <w:link w:val="Recuodecorpodetexto2"/>
    <w:rsid w:val="00983F71"/>
    <w:rPr>
      <w:rFonts w:ascii="Times New Roman" w:eastAsia="Times New Roman" w:hAnsi="Times New Roman" w:cs="Times New Roman"/>
      <w:sz w:val="26"/>
      <w:szCs w:val="20"/>
      <w:lang w:eastAsia="pt-BR"/>
    </w:rPr>
  </w:style>
  <w:style w:type="paragraph" w:styleId="Corpodetexto3">
    <w:name w:val="Body Text 3"/>
    <w:basedOn w:val="Normal"/>
    <w:link w:val="Corpodetexto3Char"/>
    <w:rsid w:val="00983F71"/>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983F71"/>
    <w:rPr>
      <w:rFonts w:ascii="Times New Roman" w:eastAsia="Times New Roman" w:hAnsi="Times New Roman" w:cs="Times New Roman"/>
      <w:sz w:val="16"/>
      <w:szCs w:val="16"/>
      <w:lang w:eastAsia="pt-BR"/>
    </w:rPr>
  </w:style>
  <w:style w:type="paragraph" w:styleId="Textodenotaderodap">
    <w:name w:val="footnote text"/>
    <w:aliases w:val=" Char,Char,Char4,fn,ALTS FOOTNOTE,Texto de rodapé,Nota de rodapé"/>
    <w:basedOn w:val="Normal"/>
    <w:link w:val="TextodenotaderodapChar"/>
    <w:unhideWhenUsed/>
    <w:qFormat/>
    <w:rsid w:val="00983F71"/>
    <w:pPr>
      <w:spacing w:after="0" w:line="240" w:lineRule="auto"/>
      <w:jc w:val="both"/>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983F71"/>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unhideWhenUsed/>
    <w:qFormat/>
    <w:rsid w:val="00983F71"/>
    <w:rPr>
      <w:vertAlign w:val="superscript"/>
    </w:rPr>
  </w:style>
  <w:style w:type="paragraph" w:styleId="NormalWeb">
    <w:name w:val="Normal (Web)"/>
    <w:basedOn w:val="Normal"/>
    <w:uiPriority w:val="99"/>
    <w:unhideWhenUsed/>
    <w:rsid w:val="00983F71"/>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PargrafodaLista">
    <w:name w:val="List Paragraph"/>
    <w:basedOn w:val="Normal"/>
    <w:link w:val="PargrafodaListaChar"/>
    <w:uiPriority w:val="34"/>
    <w:qFormat/>
    <w:rsid w:val="00983F71"/>
    <w:pPr>
      <w:spacing w:after="0" w:line="240" w:lineRule="auto"/>
      <w:ind w:left="720"/>
      <w:contextualSpacing/>
      <w:jc w:val="both"/>
    </w:pPr>
    <w:rPr>
      <w:rFonts w:ascii="Times New Roman" w:eastAsia="Times New Roman" w:hAnsi="Times New Roman" w:cs="Times New Roman"/>
      <w:sz w:val="26"/>
      <w:szCs w:val="20"/>
      <w:lang w:eastAsia="pt-BR"/>
    </w:rPr>
  </w:style>
  <w:style w:type="character" w:customStyle="1" w:styleId="PargrafodaListaChar">
    <w:name w:val="Parágrafo da Lista Char"/>
    <w:link w:val="PargrafodaLista"/>
    <w:uiPriority w:val="34"/>
    <w:locked/>
    <w:rsid w:val="00983F71"/>
    <w:rPr>
      <w:rFonts w:ascii="Times New Roman" w:eastAsia="Times New Roman" w:hAnsi="Times New Roman" w:cs="Times New Roman"/>
      <w:sz w:val="26"/>
      <w:szCs w:val="20"/>
      <w:lang w:eastAsia="pt-BR"/>
    </w:rPr>
  </w:style>
  <w:style w:type="paragraph" w:styleId="Textodebalo">
    <w:name w:val="Balloon Text"/>
    <w:basedOn w:val="Normal"/>
    <w:link w:val="TextodebaloChar"/>
    <w:unhideWhenUsed/>
    <w:rsid w:val="00983F71"/>
    <w:pPr>
      <w:spacing w:after="0" w:line="240" w:lineRule="auto"/>
      <w:jc w:val="both"/>
    </w:pPr>
    <w:rPr>
      <w:rFonts w:ascii="Segoe UI" w:eastAsia="Times New Roman" w:hAnsi="Segoe UI" w:cs="Segoe UI"/>
      <w:sz w:val="18"/>
      <w:szCs w:val="18"/>
      <w:lang w:eastAsia="pt-BR"/>
    </w:rPr>
  </w:style>
  <w:style w:type="character" w:customStyle="1" w:styleId="TextodebaloChar">
    <w:name w:val="Texto de balão Char"/>
    <w:basedOn w:val="Fontepargpadro"/>
    <w:link w:val="Textodebalo"/>
    <w:rsid w:val="00983F71"/>
    <w:rPr>
      <w:rFonts w:ascii="Segoe UI" w:eastAsia="Times New Roman" w:hAnsi="Segoe UI" w:cs="Segoe UI"/>
      <w:sz w:val="18"/>
      <w:szCs w:val="18"/>
      <w:lang w:eastAsia="pt-BR"/>
    </w:rPr>
  </w:style>
  <w:style w:type="character" w:styleId="Refdecomentrio">
    <w:name w:val="annotation reference"/>
    <w:basedOn w:val="Fontepargpadro"/>
    <w:unhideWhenUsed/>
    <w:rsid w:val="00983F71"/>
    <w:rPr>
      <w:sz w:val="16"/>
      <w:szCs w:val="16"/>
    </w:rPr>
  </w:style>
  <w:style w:type="paragraph" w:styleId="Textodecomentrio">
    <w:name w:val="annotation text"/>
    <w:basedOn w:val="Normal"/>
    <w:link w:val="TextodecomentrioChar"/>
    <w:unhideWhenUsed/>
    <w:rsid w:val="00983F71"/>
    <w:pPr>
      <w:spacing w:after="0" w:line="240" w:lineRule="auto"/>
      <w:jc w:val="both"/>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rsid w:val="00983F71"/>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nhideWhenUsed/>
    <w:rsid w:val="00983F71"/>
    <w:rPr>
      <w:b/>
      <w:bCs/>
    </w:rPr>
  </w:style>
  <w:style w:type="character" w:customStyle="1" w:styleId="AssuntodocomentrioChar">
    <w:name w:val="Assunto do comentário Char"/>
    <w:basedOn w:val="TextodecomentrioChar"/>
    <w:link w:val="Assuntodocomentrio"/>
    <w:rsid w:val="00983F71"/>
    <w:rPr>
      <w:rFonts w:ascii="Times New Roman" w:eastAsia="Times New Roman" w:hAnsi="Times New Roman" w:cs="Times New Roman"/>
      <w:b/>
      <w:bCs/>
      <w:sz w:val="20"/>
      <w:szCs w:val="20"/>
      <w:lang w:eastAsia="pt-BR"/>
    </w:rPr>
  </w:style>
  <w:style w:type="paragraph" w:styleId="Recuodecorpodetexto">
    <w:name w:val="Body Text Indent"/>
    <w:basedOn w:val="Normal"/>
    <w:link w:val="RecuodecorpodetextoChar"/>
    <w:unhideWhenUsed/>
    <w:rsid w:val="00983F71"/>
    <w:pPr>
      <w:spacing w:after="120" w:line="240" w:lineRule="auto"/>
      <w:ind w:left="283"/>
      <w:jc w:val="both"/>
    </w:pPr>
    <w:rPr>
      <w:rFonts w:ascii="Times New Roman" w:eastAsia="Times New Roman" w:hAnsi="Times New Roman" w:cs="Times New Roman"/>
      <w:sz w:val="26"/>
      <w:szCs w:val="20"/>
      <w:lang w:eastAsia="pt-BR"/>
    </w:rPr>
  </w:style>
  <w:style w:type="character" w:customStyle="1" w:styleId="RecuodecorpodetextoChar">
    <w:name w:val="Recuo de corpo de texto Char"/>
    <w:basedOn w:val="Fontepargpadro"/>
    <w:link w:val="Recuodecorpodetexto"/>
    <w:rsid w:val="00983F71"/>
    <w:rPr>
      <w:rFonts w:ascii="Times New Roman" w:eastAsia="Times New Roman" w:hAnsi="Times New Roman" w:cs="Times New Roman"/>
      <w:sz w:val="26"/>
      <w:szCs w:val="20"/>
      <w:lang w:eastAsia="pt-BR"/>
    </w:rPr>
  </w:style>
  <w:style w:type="character" w:customStyle="1" w:styleId="WW8Num1z0">
    <w:name w:val="WW8Num1z0"/>
    <w:rsid w:val="00983F71"/>
    <w:rPr>
      <w:rFonts w:ascii="Symbol" w:hAnsi="Symbol"/>
    </w:rPr>
  </w:style>
  <w:style w:type="character" w:customStyle="1" w:styleId="WW8Num2z0">
    <w:name w:val="WW8Num2z0"/>
    <w:rsid w:val="00983F71"/>
    <w:rPr>
      <w:b/>
    </w:rPr>
  </w:style>
  <w:style w:type="character" w:customStyle="1" w:styleId="WW8Num8z0">
    <w:name w:val="WW8Num8z0"/>
    <w:rsid w:val="00983F71"/>
    <w:rPr>
      <w:b/>
    </w:rPr>
  </w:style>
  <w:style w:type="character" w:customStyle="1" w:styleId="WW8Num14z0">
    <w:name w:val="WW8Num14z0"/>
    <w:rsid w:val="00983F71"/>
    <w:rPr>
      <w:b/>
    </w:rPr>
  </w:style>
  <w:style w:type="character" w:customStyle="1" w:styleId="WW8Num15z0">
    <w:name w:val="WW8Num15z0"/>
    <w:rsid w:val="00983F71"/>
    <w:rPr>
      <w:b/>
      <w:color w:val="auto"/>
    </w:rPr>
  </w:style>
  <w:style w:type="character" w:customStyle="1" w:styleId="WW8Num16z0">
    <w:name w:val="WW8Num16z0"/>
    <w:rsid w:val="00983F71"/>
    <w:rPr>
      <w:b/>
    </w:rPr>
  </w:style>
  <w:style w:type="character" w:customStyle="1" w:styleId="WW8Num20z0">
    <w:name w:val="WW8Num20z0"/>
    <w:rsid w:val="00983F71"/>
    <w:rPr>
      <w:color w:val="0000FF"/>
      <w:sz w:val="20"/>
    </w:rPr>
  </w:style>
  <w:style w:type="character" w:customStyle="1" w:styleId="WW8Num24z0">
    <w:name w:val="WW8Num24z0"/>
    <w:rsid w:val="00983F71"/>
    <w:rPr>
      <w:b/>
    </w:rPr>
  </w:style>
  <w:style w:type="character" w:customStyle="1" w:styleId="WW8Num25z0">
    <w:name w:val="WW8Num25z0"/>
    <w:rsid w:val="00983F71"/>
    <w:rPr>
      <w:b/>
    </w:rPr>
  </w:style>
  <w:style w:type="character" w:customStyle="1" w:styleId="WW8Num27z0">
    <w:name w:val="WW8Num27z0"/>
    <w:rsid w:val="00983F71"/>
    <w:rPr>
      <w:b/>
    </w:rPr>
  </w:style>
  <w:style w:type="character" w:customStyle="1" w:styleId="Fontepargpadro1">
    <w:name w:val="Fonte parág. padrão1"/>
    <w:rsid w:val="00983F71"/>
  </w:style>
  <w:style w:type="character" w:styleId="HiperlinkVisitado">
    <w:name w:val="FollowedHyperlink"/>
    <w:rsid w:val="00983F71"/>
    <w:rPr>
      <w:color w:val="800080"/>
      <w:u w:val="single"/>
    </w:rPr>
  </w:style>
  <w:style w:type="character" w:styleId="Forte">
    <w:name w:val="Strong"/>
    <w:uiPriority w:val="22"/>
    <w:qFormat/>
    <w:rsid w:val="00983F71"/>
    <w:rPr>
      <w:b/>
      <w:bCs/>
    </w:rPr>
  </w:style>
  <w:style w:type="paragraph" w:styleId="Lista">
    <w:name w:val="List"/>
    <w:basedOn w:val="Corpodetexto"/>
    <w:rsid w:val="00983F71"/>
    <w:pPr>
      <w:suppressAutoHyphens/>
    </w:pPr>
    <w:rPr>
      <w:rFonts w:cs="Tahoma"/>
      <w:sz w:val="24"/>
      <w:szCs w:val="20"/>
      <w:lang w:val="x-none" w:eastAsia="ar-SA"/>
    </w:rPr>
  </w:style>
  <w:style w:type="paragraph" w:customStyle="1" w:styleId="Legenda1">
    <w:name w:val="Legenda1"/>
    <w:basedOn w:val="Normal"/>
    <w:rsid w:val="00983F71"/>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ndice">
    <w:name w:val="Índice"/>
    <w:basedOn w:val="Normal"/>
    <w:rsid w:val="00983F71"/>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Ttulo10">
    <w:name w:val="Título1"/>
    <w:basedOn w:val="Normal"/>
    <w:next w:val="Corpodetexto"/>
    <w:rsid w:val="00983F71"/>
    <w:pPr>
      <w:keepNext/>
      <w:suppressAutoHyphens/>
      <w:spacing w:before="240" w:after="120" w:line="240" w:lineRule="auto"/>
    </w:pPr>
    <w:rPr>
      <w:rFonts w:ascii="Arial" w:eastAsia="MS Mincho" w:hAnsi="Arial" w:cs="Tahoma"/>
      <w:sz w:val="28"/>
      <w:szCs w:val="28"/>
      <w:lang w:eastAsia="ar-SA"/>
    </w:rPr>
  </w:style>
  <w:style w:type="paragraph" w:customStyle="1" w:styleId="Textosimples">
    <w:name w:val="Texto simples"/>
    <w:basedOn w:val="Normal"/>
    <w:rsid w:val="00983F71"/>
    <w:pPr>
      <w:suppressAutoHyphens/>
      <w:spacing w:after="0" w:line="240" w:lineRule="auto"/>
    </w:pPr>
    <w:rPr>
      <w:rFonts w:ascii="Courier New" w:eastAsia="Times New Roman" w:hAnsi="Courier New" w:cs="Times New Roman"/>
      <w:sz w:val="20"/>
      <w:szCs w:val="20"/>
      <w:lang w:eastAsia="ar-SA"/>
    </w:rPr>
  </w:style>
  <w:style w:type="paragraph" w:customStyle="1" w:styleId="Recuodecorpodetexto31">
    <w:name w:val="Recuo de corpo de texto 31"/>
    <w:basedOn w:val="Normal"/>
    <w:rsid w:val="00983F71"/>
    <w:pPr>
      <w:suppressAutoHyphens/>
      <w:spacing w:after="0" w:line="240" w:lineRule="auto"/>
      <w:ind w:firstLine="2835"/>
    </w:pPr>
    <w:rPr>
      <w:rFonts w:ascii="Arial" w:eastAsia="Times New Roman" w:hAnsi="Arial" w:cs="Times New Roman"/>
      <w:sz w:val="24"/>
      <w:szCs w:val="20"/>
      <w:lang w:eastAsia="ar-SA"/>
    </w:rPr>
  </w:style>
  <w:style w:type="paragraph" w:customStyle="1" w:styleId="Recuodecorpodetexto21">
    <w:name w:val="Recuo de corpo de texto 21"/>
    <w:basedOn w:val="Normal"/>
    <w:rsid w:val="00983F71"/>
    <w:pPr>
      <w:suppressAutoHyphens/>
      <w:spacing w:after="240" w:line="240" w:lineRule="auto"/>
      <w:ind w:left="709" w:hanging="709"/>
      <w:jc w:val="both"/>
    </w:pPr>
    <w:rPr>
      <w:rFonts w:ascii="Arial" w:eastAsia="Times New Roman" w:hAnsi="Arial" w:cs="Times New Roman"/>
      <w:sz w:val="24"/>
      <w:szCs w:val="20"/>
      <w:lang w:eastAsia="ar-SA"/>
    </w:rPr>
  </w:style>
  <w:style w:type="paragraph" w:styleId="Ttulo">
    <w:name w:val="Title"/>
    <w:basedOn w:val="Normal"/>
    <w:next w:val="Subttulo"/>
    <w:link w:val="TtuloChar"/>
    <w:qFormat/>
    <w:rsid w:val="00983F71"/>
    <w:pPr>
      <w:suppressAutoHyphens/>
      <w:spacing w:after="0" w:line="240" w:lineRule="auto"/>
      <w:jc w:val="center"/>
    </w:pPr>
    <w:rPr>
      <w:rFonts w:ascii="Arial" w:eastAsia="Times New Roman" w:hAnsi="Arial" w:cs="Times New Roman"/>
      <w:b/>
      <w:sz w:val="40"/>
      <w:szCs w:val="20"/>
      <w:lang w:eastAsia="ar-SA"/>
    </w:rPr>
  </w:style>
  <w:style w:type="character" w:customStyle="1" w:styleId="TtuloChar">
    <w:name w:val="Título Char"/>
    <w:basedOn w:val="Fontepargpadro"/>
    <w:link w:val="Ttulo"/>
    <w:rsid w:val="00983F71"/>
    <w:rPr>
      <w:rFonts w:ascii="Arial" w:eastAsia="Times New Roman" w:hAnsi="Arial" w:cs="Times New Roman"/>
      <w:b/>
      <w:sz w:val="40"/>
      <w:szCs w:val="20"/>
      <w:lang w:eastAsia="ar-SA"/>
    </w:rPr>
  </w:style>
  <w:style w:type="paragraph" w:styleId="Subttulo">
    <w:name w:val="Subtitle"/>
    <w:basedOn w:val="Ttulo10"/>
    <w:next w:val="Corpodetexto"/>
    <w:link w:val="SubttuloChar"/>
    <w:qFormat/>
    <w:rsid w:val="00983F71"/>
    <w:pPr>
      <w:jc w:val="center"/>
    </w:pPr>
    <w:rPr>
      <w:i/>
      <w:iCs/>
    </w:rPr>
  </w:style>
  <w:style w:type="character" w:customStyle="1" w:styleId="SubttuloChar">
    <w:name w:val="Subtítulo Char"/>
    <w:basedOn w:val="Fontepargpadro"/>
    <w:link w:val="Subttulo"/>
    <w:rsid w:val="00983F71"/>
    <w:rPr>
      <w:rFonts w:ascii="Arial" w:eastAsia="MS Mincho" w:hAnsi="Arial" w:cs="Tahoma"/>
      <w:i/>
      <w:iCs/>
      <w:sz w:val="28"/>
      <w:szCs w:val="28"/>
      <w:lang w:eastAsia="ar-SA"/>
    </w:rPr>
  </w:style>
  <w:style w:type="paragraph" w:customStyle="1" w:styleId="Corpodetexto31">
    <w:name w:val="Corpo de texto 31"/>
    <w:basedOn w:val="Normal"/>
    <w:qFormat/>
    <w:rsid w:val="00983F71"/>
    <w:pPr>
      <w:suppressAutoHyphens/>
      <w:spacing w:after="0" w:line="240" w:lineRule="auto"/>
      <w:jc w:val="both"/>
    </w:pPr>
    <w:rPr>
      <w:rFonts w:ascii="Times New Roman" w:eastAsia="Times New Roman" w:hAnsi="Times New Roman" w:cs="Times New Roman"/>
      <w:sz w:val="25"/>
      <w:szCs w:val="20"/>
      <w:lang w:eastAsia="ar-SA"/>
    </w:rPr>
  </w:style>
  <w:style w:type="paragraph" w:customStyle="1" w:styleId="Commarcadores1">
    <w:name w:val="Com marcadores1"/>
    <w:basedOn w:val="Normal"/>
    <w:rsid w:val="00983F71"/>
    <w:pPr>
      <w:suppressAutoHyphens/>
      <w:spacing w:after="0" w:line="240" w:lineRule="auto"/>
    </w:pPr>
    <w:rPr>
      <w:rFonts w:ascii="Times New Roman" w:eastAsia="Times New Roman" w:hAnsi="Times New Roman" w:cs="Times New Roman"/>
      <w:sz w:val="20"/>
      <w:szCs w:val="20"/>
      <w:lang w:eastAsia="ar-SA"/>
    </w:rPr>
  </w:style>
  <w:style w:type="paragraph" w:customStyle="1" w:styleId="m5">
    <w:name w:val="m5"/>
    <w:basedOn w:val="Commarcadores1"/>
    <w:rsid w:val="00983F71"/>
    <w:pPr>
      <w:ind w:left="1134" w:hanging="1134"/>
      <w:jc w:val="both"/>
    </w:pPr>
    <w:rPr>
      <w:color w:val="FF0000"/>
      <w:sz w:val="24"/>
    </w:rPr>
  </w:style>
  <w:style w:type="paragraph" w:customStyle="1" w:styleId="Corpodetexto32">
    <w:name w:val="Corpo de texto 32"/>
    <w:basedOn w:val="Normal"/>
    <w:rsid w:val="00983F71"/>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Recuodecorpodetexto22">
    <w:name w:val="Recuo de corpo de texto 22"/>
    <w:basedOn w:val="Normal"/>
    <w:rsid w:val="00983F71"/>
    <w:pPr>
      <w:suppressAutoHyphens/>
      <w:spacing w:after="0" w:line="240" w:lineRule="auto"/>
      <w:ind w:left="567" w:hanging="283"/>
      <w:jc w:val="both"/>
    </w:pPr>
    <w:rPr>
      <w:rFonts w:ascii="Arial" w:eastAsia="Times New Roman" w:hAnsi="Arial" w:cs="Times New Roman"/>
      <w:szCs w:val="20"/>
      <w:lang w:eastAsia="ar-SA"/>
    </w:rPr>
  </w:style>
  <w:style w:type="paragraph" w:customStyle="1" w:styleId="Corpodetexto21">
    <w:name w:val="Corpo de texto 21"/>
    <w:basedOn w:val="Normal"/>
    <w:rsid w:val="00983F71"/>
    <w:pPr>
      <w:suppressAutoHyphens/>
      <w:spacing w:after="0" w:line="360" w:lineRule="auto"/>
      <w:ind w:firstLine="2268"/>
      <w:jc w:val="both"/>
    </w:pPr>
    <w:rPr>
      <w:rFonts w:ascii="Times New Roman" w:eastAsia="Times New Roman" w:hAnsi="Times New Roman" w:cs="Times New Roman"/>
      <w:sz w:val="24"/>
      <w:szCs w:val="20"/>
      <w:lang w:eastAsia="ar-SA"/>
    </w:rPr>
  </w:style>
  <w:style w:type="paragraph" w:customStyle="1" w:styleId="WW-Padro">
    <w:name w:val="WW-Padrão"/>
    <w:rsid w:val="00983F71"/>
    <w:pPr>
      <w:widowControl w:val="0"/>
      <w:suppressAutoHyphens/>
      <w:spacing w:after="0" w:line="240" w:lineRule="auto"/>
    </w:pPr>
    <w:rPr>
      <w:rFonts w:ascii="Arial" w:eastAsia="Times New Roman" w:hAnsi="Arial" w:cs="Times New Roman"/>
      <w:sz w:val="20"/>
      <w:szCs w:val="20"/>
      <w:lang w:eastAsia="ar-SA"/>
    </w:rPr>
  </w:style>
  <w:style w:type="paragraph" w:customStyle="1" w:styleId="Textoembloco1">
    <w:name w:val="Texto em bloco1"/>
    <w:basedOn w:val="Normal"/>
    <w:rsid w:val="00983F71"/>
    <w:pPr>
      <w:tabs>
        <w:tab w:val="left" w:pos="8460"/>
      </w:tabs>
      <w:suppressAutoHyphens/>
      <w:spacing w:after="0" w:line="240" w:lineRule="auto"/>
      <w:ind w:left="360" w:right="45"/>
    </w:pPr>
    <w:rPr>
      <w:rFonts w:ascii="Arial" w:eastAsia="Times New Roman" w:hAnsi="Arial" w:cs="Times New Roman"/>
      <w:b/>
      <w:bCs/>
      <w:szCs w:val="24"/>
      <w:lang w:eastAsia="ar-SA"/>
    </w:rPr>
  </w:style>
  <w:style w:type="paragraph" w:customStyle="1" w:styleId="Corpo">
    <w:name w:val="Corpo"/>
    <w:rsid w:val="00983F71"/>
    <w:pPr>
      <w:suppressAutoHyphens/>
      <w:autoSpaceDE w:val="0"/>
      <w:spacing w:after="0" w:line="240" w:lineRule="auto"/>
    </w:pPr>
    <w:rPr>
      <w:rFonts w:ascii="Times New Roman" w:eastAsia="Times New Roman" w:hAnsi="Times New Roman" w:cs="Times New Roman"/>
      <w:color w:val="000000"/>
      <w:sz w:val="20"/>
      <w:szCs w:val="24"/>
      <w:lang w:eastAsia="ar-SA"/>
    </w:rPr>
  </w:style>
  <w:style w:type="paragraph" w:customStyle="1" w:styleId="Contedodatabela">
    <w:name w:val="Conteúdo da tabela"/>
    <w:basedOn w:val="Normal"/>
    <w:rsid w:val="00983F7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Ttulodatabela">
    <w:name w:val="Título da tabela"/>
    <w:basedOn w:val="Contedodatabela"/>
    <w:rsid w:val="00983F71"/>
    <w:pPr>
      <w:jc w:val="center"/>
    </w:pPr>
    <w:rPr>
      <w:b/>
      <w:bCs/>
      <w:i/>
      <w:iCs/>
    </w:rPr>
  </w:style>
  <w:style w:type="paragraph" w:customStyle="1" w:styleId="Contedodoquadro">
    <w:name w:val="Conteúdo do quadro"/>
    <w:basedOn w:val="Corpodetexto"/>
    <w:rsid w:val="00983F71"/>
    <w:pPr>
      <w:suppressAutoHyphens/>
    </w:pPr>
    <w:rPr>
      <w:sz w:val="24"/>
      <w:szCs w:val="20"/>
      <w:lang w:val="x-none" w:eastAsia="ar-SA"/>
    </w:rPr>
  </w:style>
  <w:style w:type="paragraph" w:styleId="Textoembloco">
    <w:name w:val="Block Text"/>
    <w:basedOn w:val="Normal"/>
    <w:rsid w:val="00983F71"/>
    <w:pPr>
      <w:tabs>
        <w:tab w:val="left" w:pos="567"/>
      </w:tabs>
      <w:spacing w:after="0" w:line="240" w:lineRule="auto"/>
      <w:ind w:left="284" w:right="51" w:hanging="284"/>
      <w:jc w:val="both"/>
    </w:pPr>
    <w:rPr>
      <w:rFonts w:ascii="Arial" w:eastAsia="Times New Roman" w:hAnsi="Arial" w:cs="Times New Roman"/>
      <w:sz w:val="24"/>
      <w:szCs w:val="24"/>
      <w:lang w:eastAsia="pt-BR"/>
    </w:rPr>
  </w:style>
  <w:style w:type="character" w:customStyle="1" w:styleId="apple-converted-space">
    <w:name w:val="apple-converted-space"/>
    <w:rsid w:val="00983F71"/>
  </w:style>
  <w:style w:type="paragraph" w:customStyle="1" w:styleId="Standard">
    <w:name w:val="Standard"/>
    <w:rsid w:val="00983F71"/>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Nivel01">
    <w:name w:val="Nivel 01"/>
    <w:basedOn w:val="Ttulo1"/>
    <w:next w:val="Normal"/>
    <w:link w:val="Nivel01Char"/>
    <w:qFormat/>
    <w:rsid w:val="00983F71"/>
    <w:pPr>
      <w:keepLines/>
      <w:numPr>
        <w:numId w:val="8"/>
      </w:numPr>
      <w:tabs>
        <w:tab w:val="num" w:pos="360"/>
        <w:tab w:val="left" w:pos="567"/>
      </w:tabs>
      <w:suppressAutoHyphens w:val="0"/>
      <w:spacing w:before="240"/>
      <w:ind w:left="360"/>
      <w:jc w:val="both"/>
    </w:pPr>
    <w:rPr>
      <w:rFonts w:ascii="Ecofont_Spranq_eco_Sans" w:eastAsia="MS Gothic" w:hAnsi="Ecofont_Spranq_eco_Sans"/>
      <w:bCs/>
      <w:color w:val="000000"/>
      <w:sz w:val="20"/>
      <w:lang w:eastAsia="pt-BR"/>
    </w:rPr>
  </w:style>
  <w:style w:type="character" w:customStyle="1" w:styleId="Nivel01Char">
    <w:name w:val="Nivel 01 Char"/>
    <w:link w:val="Nivel01"/>
    <w:rsid w:val="00983F71"/>
    <w:rPr>
      <w:rFonts w:ascii="Ecofont_Spranq_eco_Sans" w:eastAsia="MS Gothic" w:hAnsi="Ecofont_Spranq_eco_Sans" w:cs="Times New Roman"/>
      <w:b/>
      <w:bCs/>
      <w:color w:val="000000"/>
      <w:sz w:val="20"/>
      <w:szCs w:val="20"/>
      <w:lang w:eastAsia="pt-BR"/>
    </w:rPr>
  </w:style>
  <w:style w:type="character" w:customStyle="1" w:styleId="highlight">
    <w:name w:val="highlight"/>
    <w:basedOn w:val="Fontepargpadro"/>
    <w:rsid w:val="00983F71"/>
  </w:style>
  <w:style w:type="character" w:customStyle="1" w:styleId="paragrafo-texto">
    <w:name w:val="paragrafo-texto"/>
    <w:basedOn w:val="Fontepargpadro"/>
    <w:rsid w:val="00983F71"/>
  </w:style>
  <w:style w:type="table" w:styleId="Tabelacomgrade">
    <w:name w:val="Table Grid"/>
    <w:basedOn w:val="Tabelanormal"/>
    <w:rsid w:val="00983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983F71"/>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imes New Roman"/>
      <w:i/>
      <w:iCs/>
      <w:color w:val="000000"/>
      <w:sz w:val="20"/>
      <w:szCs w:val="24"/>
      <w:lang w:val="x-none"/>
    </w:rPr>
  </w:style>
  <w:style w:type="character" w:customStyle="1" w:styleId="CitaoChar">
    <w:name w:val="Citação Char"/>
    <w:basedOn w:val="Fontepargpadro"/>
    <w:link w:val="Citao"/>
    <w:uiPriority w:val="29"/>
    <w:rsid w:val="00983F71"/>
    <w:rPr>
      <w:rFonts w:ascii="Arial" w:eastAsia="Calibri" w:hAnsi="Arial" w:cs="Times New Roman"/>
      <w:i/>
      <w:iCs/>
      <w:color w:val="000000"/>
      <w:sz w:val="20"/>
      <w:szCs w:val="24"/>
      <w:shd w:val="clear" w:color="auto" w:fill="FFFFCC"/>
      <w:lang w:val="x-none"/>
    </w:rPr>
  </w:style>
  <w:style w:type="paragraph" w:customStyle="1" w:styleId="Nivel10">
    <w:name w:val="Nivel1"/>
    <w:basedOn w:val="Ttulo1"/>
    <w:link w:val="Nivel1Char"/>
    <w:qFormat/>
    <w:rsid w:val="00983F71"/>
    <w:pPr>
      <w:keepLines/>
      <w:suppressAutoHyphens w:val="0"/>
      <w:spacing w:before="480" w:line="276" w:lineRule="auto"/>
      <w:ind w:left="644" w:hanging="360"/>
      <w:jc w:val="both"/>
    </w:pPr>
    <w:rPr>
      <w:rFonts w:eastAsiaTheme="majorEastAsia"/>
      <w:color w:val="000000"/>
      <w:sz w:val="20"/>
      <w:lang w:eastAsia="pt-BR"/>
    </w:rPr>
  </w:style>
  <w:style w:type="numbering" w:customStyle="1" w:styleId="Semlista11">
    <w:name w:val="Sem lista11"/>
    <w:next w:val="Semlista"/>
    <w:uiPriority w:val="99"/>
    <w:semiHidden/>
    <w:unhideWhenUsed/>
    <w:rsid w:val="00983F71"/>
  </w:style>
  <w:style w:type="paragraph" w:customStyle="1" w:styleId="Nvel2">
    <w:name w:val="Nível 2"/>
    <w:basedOn w:val="Normal"/>
    <w:next w:val="Normal"/>
    <w:rsid w:val="00983F71"/>
    <w:pPr>
      <w:spacing w:after="120" w:line="240" w:lineRule="auto"/>
      <w:jc w:val="both"/>
    </w:pPr>
    <w:rPr>
      <w:rFonts w:ascii="Arial" w:eastAsia="Times New Roman" w:hAnsi="Arial" w:cs="Times New Roman"/>
      <w:b/>
      <w:sz w:val="20"/>
      <w:szCs w:val="20"/>
      <w:lang w:eastAsia="pt-BR"/>
    </w:rPr>
  </w:style>
  <w:style w:type="character" w:customStyle="1" w:styleId="normalchar1">
    <w:name w:val="normal__char1"/>
    <w:rsid w:val="00983F71"/>
    <w:rPr>
      <w:rFonts w:ascii="Arial" w:hAnsi="Arial" w:cs="Arial" w:hint="default"/>
      <w:strike w:val="0"/>
      <w:dstrike w:val="0"/>
      <w:sz w:val="24"/>
      <w:szCs w:val="24"/>
      <w:u w:val="none"/>
      <w:effect w:val="none"/>
    </w:rPr>
  </w:style>
  <w:style w:type="character" w:customStyle="1" w:styleId="apple-style-span">
    <w:name w:val="apple-style-span"/>
    <w:basedOn w:val="Fontepargpadro"/>
    <w:rsid w:val="00983F71"/>
  </w:style>
  <w:style w:type="paragraph" w:styleId="Commarcadores5">
    <w:name w:val="List Bullet 5"/>
    <w:basedOn w:val="Normal"/>
    <w:rsid w:val="00983F71"/>
    <w:pPr>
      <w:numPr>
        <w:numId w:val="14"/>
      </w:numPr>
      <w:spacing w:after="0" w:line="240" w:lineRule="auto"/>
      <w:contextualSpacing/>
    </w:pPr>
    <w:rPr>
      <w:rFonts w:ascii="Arial" w:eastAsia="Times New Roman" w:hAnsi="Arial" w:cs="Tahoma"/>
      <w:sz w:val="20"/>
      <w:szCs w:val="24"/>
      <w:lang w:eastAsia="pt-BR"/>
    </w:rPr>
  </w:style>
  <w:style w:type="paragraph" w:customStyle="1" w:styleId="citao2">
    <w:name w:val="citação 2"/>
    <w:basedOn w:val="Citao"/>
    <w:link w:val="citao2Char"/>
    <w:qFormat/>
    <w:rsid w:val="00983F71"/>
  </w:style>
  <w:style w:type="character" w:customStyle="1" w:styleId="citao2Char">
    <w:name w:val="citação 2 Char"/>
    <w:basedOn w:val="CitaoChar"/>
    <w:link w:val="citao2"/>
    <w:rsid w:val="00983F71"/>
    <w:rPr>
      <w:rFonts w:ascii="Arial" w:eastAsia="Calibri" w:hAnsi="Arial" w:cs="Times New Roman"/>
      <w:i/>
      <w:iCs/>
      <w:color w:val="000000"/>
      <w:sz w:val="20"/>
      <w:szCs w:val="24"/>
      <w:shd w:val="clear" w:color="auto" w:fill="FFFFCC"/>
      <w:lang w:val="x-none"/>
    </w:rPr>
  </w:style>
  <w:style w:type="character" w:styleId="TextodoEspaoReservado">
    <w:name w:val="Placeholder Text"/>
    <w:basedOn w:val="Fontepargpadro"/>
    <w:uiPriority w:val="99"/>
    <w:rsid w:val="00983F71"/>
    <w:rPr>
      <w:color w:val="808080"/>
    </w:rPr>
  </w:style>
  <w:style w:type="character" w:customStyle="1" w:styleId="Nivel1Char">
    <w:name w:val="Nivel1 Char"/>
    <w:basedOn w:val="Ttulo1Char"/>
    <w:link w:val="Nivel10"/>
    <w:rsid w:val="00983F71"/>
    <w:rPr>
      <w:rFonts w:ascii="Arial" w:eastAsiaTheme="majorEastAsia" w:hAnsi="Arial" w:cs="Times New Roman"/>
      <w:b/>
      <w:color w:val="000000"/>
      <w:sz w:val="20"/>
      <w:szCs w:val="20"/>
      <w:lang w:eastAsia="pt-BR"/>
    </w:rPr>
  </w:style>
  <w:style w:type="paragraph" w:styleId="Reviso">
    <w:name w:val="Revision"/>
    <w:hidden/>
    <w:uiPriority w:val="99"/>
    <w:semiHidden/>
    <w:rsid w:val="00983F71"/>
    <w:pPr>
      <w:spacing w:after="0" w:line="240" w:lineRule="auto"/>
    </w:pPr>
    <w:rPr>
      <w:rFonts w:ascii="Arial" w:eastAsia="Times New Roman" w:hAnsi="Arial" w:cs="Tahoma"/>
      <w:sz w:val="20"/>
      <w:szCs w:val="24"/>
      <w:lang w:eastAsia="pt-BR"/>
    </w:rPr>
  </w:style>
  <w:style w:type="paragraph" w:customStyle="1" w:styleId="PargrafodaLista1">
    <w:name w:val="Parágrafo da Lista1"/>
    <w:basedOn w:val="Normal"/>
    <w:qFormat/>
    <w:rsid w:val="00983F71"/>
    <w:pPr>
      <w:spacing w:after="0" w:line="240" w:lineRule="auto"/>
      <w:ind w:left="720"/>
    </w:pPr>
    <w:rPr>
      <w:rFonts w:ascii="Ecofont_Spranq_eco_Sans" w:eastAsia="Times New Roman" w:hAnsi="Ecofont_Spranq_eco_Sans" w:cs="Ecofont_Spranq_eco_Sans"/>
      <w:sz w:val="24"/>
      <w:szCs w:val="24"/>
      <w:lang w:eastAsia="pt-BR"/>
    </w:rPr>
  </w:style>
  <w:style w:type="paragraph" w:customStyle="1" w:styleId="Citao1">
    <w:name w:val="Citação1"/>
    <w:basedOn w:val="Normal"/>
    <w:next w:val="Normal"/>
    <w:link w:val="QuoteChar"/>
    <w:qFormat/>
    <w:rsid w:val="00983F71"/>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Times New Roman" w:hAnsi="Ecofont_Spranq_eco_Sans" w:cs="Ecofont_Spranq_eco_Sans"/>
      <w:i/>
      <w:iCs/>
      <w:color w:val="000000"/>
      <w:sz w:val="24"/>
      <w:szCs w:val="24"/>
      <w:shd w:val="clear" w:color="auto" w:fill="FFFFCC"/>
    </w:rPr>
  </w:style>
  <w:style w:type="character" w:customStyle="1" w:styleId="QuoteChar">
    <w:name w:val="Quote Char"/>
    <w:link w:val="Citao1"/>
    <w:rsid w:val="00983F71"/>
    <w:rPr>
      <w:rFonts w:ascii="Ecofont_Spranq_eco_Sans" w:eastAsia="Times New Roman" w:hAnsi="Ecofont_Spranq_eco_Sans" w:cs="Ecofont_Spranq_eco_Sans"/>
      <w:i/>
      <w:iCs/>
      <w:color w:val="000000"/>
      <w:sz w:val="24"/>
      <w:szCs w:val="24"/>
      <w:shd w:val="clear" w:color="auto" w:fill="FFFFCC"/>
    </w:rPr>
  </w:style>
  <w:style w:type="paragraph" w:customStyle="1" w:styleId="SombreamentoMdio1-nfase31">
    <w:name w:val="Sombreamento Médio 1 - Ênfase 31"/>
    <w:basedOn w:val="Normal"/>
    <w:next w:val="Normal"/>
    <w:rsid w:val="00983F71"/>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paragraph" w:customStyle="1" w:styleId="textojustificado">
    <w:name w:val="texto_justificado"/>
    <w:basedOn w:val="Normal"/>
    <w:rsid w:val="00983F7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39"/>
    <w:rsid w:val="00983F71"/>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0">
    <w:name w:val="Nivel_01"/>
    <w:basedOn w:val="Ttulo1"/>
    <w:qFormat/>
    <w:rsid w:val="00983F71"/>
    <w:pPr>
      <w:keepLines/>
      <w:numPr>
        <w:numId w:val="15"/>
      </w:numPr>
      <w:tabs>
        <w:tab w:val="num" w:pos="360"/>
        <w:tab w:val="left" w:pos="567"/>
      </w:tabs>
      <w:suppressAutoHyphens w:val="0"/>
      <w:spacing w:before="240"/>
      <w:ind w:left="1854" w:hanging="360"/>
      <w:jc w:val="both"/>
    </w:pPr>
    <w:rPr>
      <w:rFonts w:ascii="Ecofont_Spranq_eco_Sans" w:eastAsia="MS Gothic" w:hAnsi="Ecofont_Spranq_eco_Sans"/>
      <w:bCs/>
      <w:sz w:val="20"/>
      <w:lang w:eastAsia="pt-BR"/>
    </w:rPr>
  </w:style>
  <w:style w:type="character" w:customStyle="1" w:styleId="GradeColorida-nfase1Char">
    <w:name w:val="Grade Colorida - Ênfase 1 Char"/>
    <w:link w:val="GradeColorida-nfase11"/>
    <w:rsid w:val="00983F71"/>
    <w:rPr>
      <w:rFonts w:ascii="Ecofont_Spranq_eco_Sans" w:eastAsia="Calibri" w:hAnsi="Ecofont_Spranq_eco_Sans" w:cs="Ecofont_Spranq_eco_Sans"/>
      <w:i/>
      <w:iCs/>
      <w:color w:val="000000"/>
      <w:szCs w:val="24"/>
      <w:shd w:val="clear" w:color="auto" w:fill="FFFFCC"/>
      <w:lang w:val="x-none"/>
    </w:rPr>
  </w:style>
  <w:style w:type="paragraph" w:customStyle="1" w:styleId="GradeColorida-nfase11">
    <w:name w:val="Grade Colorida - Ênfase 11"/>
    <w:basedOn w:val="Normal"/>
    <w:next w:val="Normal"/>
    <w:link w:val="GradeColorida-nfase1Char"/>
    <w:qFormat/>
    <w:rsid w:val="00983F71"/>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Calibri" w:hAnsi="Ecofont_Spranq_eco_Sans" w:cs="Ecofont_Spranq_eco_Sans"/>
      <w:i/>
      <w:iCs/>
      <w:color w:val="000000"/>
      <w:szCs w:val="24"/>
      <w:lang w:val="x-none"/>
    </w:rPr>
  </w:style>
  <w:style w:type="character" w:customStyle="1" w:styleId="WW8Num2z1">
    <w:name w:val="WW8Num2z1"/>
    <w:rsid w:val="00983F71"/>
    <w:rPr>
      <w:i w:val="0"/>
    </w:rPr>
  </w:style>
  <w:style w:type="paragraph" w:customStyle="1" w:styleId="PargrafodaLista2">
    <w:name w:val="Parágrafo da Lista2"/>
    <w:basedOn w:val="Normal"/>
    <w:rsid w:val="00983F71"/>
    <w:pPr>
      <w:spacing w:after="0" w:line="240" w:lineRule="auto"/>
      <w:ind w:left="720"/>
    </w:pPr>
    <w:rPr>
      <w:rFonts w:ascii="Ecofont_Spranq_eco_Sans" w:eastAsia="Times New Roman" w:hAnsi="Ecofont_Spranq_eco_Sans" w:cs="Tahoma"/>
      <w:sz w:val="24"/>
      <w:szCs w:val="24"/>
      <w:lang w:eastAsia="pt-BR"/>
    </w:rPr>
  </w:style>
  <w:style w:type="paragraph" w:customStyle="1" w:styleId="GradeColorida-nfase110">
    <w:name w:val="Grade Colorida - Ênfase 110"/>
    <w:basedOn w:val="Normal"/>
    <w:next w:val="Normal"/>
    <w:rsid w:val="00983F71"/>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Times New Roman" w:hAnsi="Ecofont_Spranq_eco_Sans" w:cs="Tahoma"/>
      <w:i/>
      <w:color w:val="000000"/>
      <w:sz w:val="24"/>
      <w:szCs w:val="24"/>
    </w:rPr>
  </w:style>
  <w:style w:type="paragraph" w:customStyle="1" w:styleId="Nivel2">
    <w:name w:val="Nivel 2"/>
    <w:link w:val="Nivel2Char"/>
    <w:qFormat/>
    <w:rsid w:val="00983F71"/>
    <w:pPr>
      <w:numPr>
        <w:ilvl w:val="1"/>
        <w:numId w:val="16"/>
      </w:numPr>
      <w:spacing w:before="120" w:after="120" w:line="276" w:lineRule="auto"/>
      <w:jc w:val="both"/>
    </w:pPr>
    <w:rPr>
      <w:rFonts w:ascii="Ecofont_Spranq_eco_Sans" w:eastAsia="Arial Unicode MS" w:hAnsi="Ecofont_Spranq_eco_Sans" w:cs="Times New Roman"/>
      <w:sz w:val="20"/>
      <w:szCs w:val="20"/>
      <w:lang w:eastAsia="pt-BR"/>
    </w:rPr>
  </w:style>
  <w:style w:type="paragraph" w:customStyle="1" w:styleId="Nivel1">
    <w:name w:val="Nivel 1"/>
    <w:basedOn w:val="Nivel2"/>
    <w:next w:val="Nivel2"/>
    <w:qFormat/>
    <w:rsid w:val="00983F71"/>
    <w:pPr>
      <w:numPr>
        <w:ilvl w:val="0"/>
      </w:numPr>
      <w:tabs>
        <w:tab w:val="num" w:pos="360"/>
      </w:tabs>
      <w:ind w:left="644" w:hanging="432"/>
    </w:pPr>
    <w:rPr>
      <w:rFonts w:cs="Arial"/>
      <w:b/>
    </w:rPr>
  </w:style>
  <w:style w:type="paragraph" w:customStyle="1" w:styleId="Nivel3">
    <w:name w:val="Nivel 3"/>
    <w:basedOn w:val="Nivel2"/>
    <w:qFormat/>
    <w:rsid w:val="00983F71"/>
    <w:pPr>
      <w:numPr>
        <w:ilvl w:val="2"/>
      </w:numPr>
      <w:tabs>
        <w:tab w:val="num" w:pos="360"/>
      </w:tabs>
      <w:ind w:left="1922" w:hanging="180"/>
    </w:pPr>
    <w:rPr>
      <w:rFonts w:cs="Arial"/>
      <w:color w:val="000000"/>
    </w:rPr>
  </w:style>
  <w:style w:type="paragraph" w:customStyle="1" w:styleId="Nivel4">
    <w:name w:val="Nivel 4"/>
    <w:basedOn w:val="Nivel3"/>
    <w:qFormat/>
    <w:rsid w:val="00983F71"/>
    <w:pPr>
      <w:numPr>
        <w:ilvl w:val="3"/>
      </w:numPr>
      <w:tabs>
        <w:tab w:val="num" w:pos="360"/>
      </w:tabs>
      <w:ind w:left="2491" w:hanging="360"/>
    </w:pPr>
    <w:rPr>
      <w:color w:val="auto"/>
    </w:rPr>
  </w:style>
  <w:style w:type="paragraph" w:customStyle="1" w:styleId="Nivel5">
    <w:name w:val="Nivel 5"/>
    <w:basedOn w:val="Nivel4"/>
    <w:qFormat/>
    <w:rsid w:val="00983F71"/>
    <w:pPr>
      <w:numPr>
        <w:ilvl w:val="4"/>
      </w:numPr>
      <w:tabs>
        <w:tab w:val="num" w:pos="360"/>
      </w:tabs>
      <w:ind w:left="3485" w:hanging="360"/>
    </w:pPr>
  </w:style>
  <w:style w:type="character" w:customStyle="1" w:styleId="Nivel2Char">
    <w:name w:val="Nivel 2 Char"/>
    <w:basedOn w:val="Fontepargpadro"/>
    <w:link w:val="Nivel2"/>
    <w:rsid w:val="00983F71"/>
    <w:rPr>
      <w:rFonts w:ascii="Ecofont_Spranq_eco_Sans" w:eastAsia="Arial Unicode MS" w:hAnsi="Ecofont_Spranq_eco_Sans" w:cs="Times New Roman"/>
      <w:sz w:val="20"/>
      <w:szCs w:val="20"/>
      <w:lang w:eastAsia="pt-BR"/>
    </w:rPr>
  </w:style>
  <w:style w:type="paragraph" w:customStyle="1" w:styleId="Default">
    <w:name w:val="Default"/>
    <w:rsid w:val="00983F71"/>
    <w:pPr>
      <w:autoSpaceDE w:val="0"/>
      <w:autoSpaceDN w:val="0"/>
      <w:adjustRightInd w:val="0"/>
      <w:spacing w:after="0" w:line="240" w:lineRule="auto"/>
    </w:pPr>
    <w:rPr>
      <w:rFonts w:ascii="Arial" w:eastAsia="Times New Roman" w:hAnsi="Arial" w:cs="Arial"/>
      <w:color w:val="000000"/>
      <w:sz w:val="24"/>
      <w:szCs w:val="24"/>
      <w:lang w:eastAsia="pt-BR"/>
    </w:rPr>
  </w:style>
  <w:style w:type="character" w:styleId="nfase">
    <w:name w:val="Emphasis"/>
    <w:basedOn w:val="Fontepargpadro"/>
    <w:uiPriority w:val="20"/>
    <w:qFormat/>
    <w:rsid w:val="00983F71"/>
    <w:rPr>
      <w:i/>
      <w:iCs/>
    </w:rPr>
  </w:style>
  <w:style w:type="character" w:customStyle="1" w:styleId="PGE-Alteraesdestacadas">
    <w:name w:val="PGE - Alterações destacadas"/>
    <w:basedOn w:val="Fontepargpadro"/>
    <w:uiPriority w:val="1"/>
    <w:qFormat/>
    <w:rsid w:val="00983F71"/>
    <w:rPr>
      <w:rFonts w:ascii="Arial" w:hAnsi="Arial"/>
      <w:b/>
      <w:color w:val="000000"/>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ge.ms.gov.br/minutas-padrao-pge-m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ge.ms.gov.br/minutas-padrao-pge-m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ge.ms.gov.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9711</Words>
  <Characters>52442</Characters>
  <Application>Microsoft Office Word</Application>
  <DocSecurity>0</DocSecurity>
  <Lines>437</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4</cp:revision>
  <dcterms:created xsi:type="dcterms:W3CDTF">2024-02-29T18:24:00Z</dcterms:created>
  <dcterms:modified xsi:type="dcterms:W3CDTF">2024-06-14T19:35:00Z</dcterms:modified>
</cp:coreProperties>
</file>