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AE" w:rsidRPr="009159AE" w:rsidRDefault="009159AE" w:rsidP="009159AE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9159AE">
        <w:rPr>
          <w:rFonts w:ascii="Times New Roman" w:eastAsia="Times New Roman" w:hAnsi="Times New Roman" w:cs="Times New Roman"/>
          <w:b/>
          <w:lang w:eastAsia="pt-BR"/>
        </w:rPr>
        <w:t xml:space="preserve">ANEXO IV – MODELO DE </w:t>
      </w:r>
      <w:r w:rsidRPr="009159AE">
        <w:rPr>
          <w:rFonts w:ascii="Times New Roman" w:eastAsia="Times New Roman" w:hAnsi="Times New Roman" w:cs="Times New Roman"/>
          <w:b/>
          <w:i/>
          <w:lang w:eastAsia="pt-BR"/>
        </w:rPr>
        <w:t>CHECKING LIST</w:t>
      </w:r>
      <w:r w:rsidRPr="009159AE">
        <w:rPr>
          <w:rFonts w:ascii="Times New Roman" w:eastAsia="Times New Roman" w:hAnsi="Times New Roman" w:cs="Times New Roman"/>
          <w:b/>
          <w:lang w:eastAsia="pt-BR"/>
        </w:rPr>
        <w:t xml:space="preserve"> FINAL*** </w:t>
      </w:r>
    </w:p>
    <w:p w:rsidR="009159AE" w:rsidRPr="009159AE" w:rsidRDefault="009159AE" w:rsidP="009159AE">
      <w:pPr>
        <w:spacing w:after="0" w:line="26" w:lineRule="atLeast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6159"/>
        <w:gridCol w:w="869"/>
        <w:gridCol w:w="897"/>
      </w:tblGrid>
      <w:tr w:rsidR="009159AE" w:rsidRPr="009159AE" w:rsidTr="002D07E6">
        <w:tc>
          <w:tcPr>
            <w:tcW w:w="8645" w:type="dxa"/>
            <w:gridSpan w:val="4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9159A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>Checking</w:t>
            </w:r>
            <w:proofErr w:type="spellEnd"/>
            <w:r w:rsidRPr="009159A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 xml:space="preserve"> </w:t>
            </w:r>
            <w:proofErr w:type="spellStart"/>
            <w:r w:rsidRPr="009159A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>list</w:t>
            </w:r>
            <w:proofErr w:type="spellEnd"/>
            <w:r w:rsidRPr="009159A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 xml:space="preserve"> final </w:t>
            </w:r>
            <w:r w:rsidRPr="009159AE">
              <w:rPr>
                <w:rFonts w:ascii="Times New Roman" w:eastAsia="Times New Roman" w:hAnsi="Times New Roman" w:cs="Times New Roman"/>
                <w:b/>
                <w:lang w:eastAsia="pt-BR"/>
              </w:rPr>
              <w:t>para os procedimentos necessários para a realização de cedências de servidores públicos para Municípios do Estado, com ônus para origem mediante reembolso.</w:t>
            </w:r>
          </w:p>
        </w:tc>
      </w:tr>
      <w:tr w:rsidR="009159AE" w:rsidRPr="009159AE" w:rsidTr="002D07E6">
        <w:tc>
          <w:tcPr>
            <w:tcW w:w="8645" w:type="dxa"/>
            <w:gridSpan w:val="4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b/>
                <w:lang w:eastAsia="pt-BR"/>
              </w:rPr>
              <w:t>Processo:</w:t>
            </w:r>
          </w:p>
        </w:tc>
      </w:tr>
      <w:tr w:rsidR="009159AE" w:rsidRPr="009159AE" w:rsidTr="002D07E6">
        <w:tc>
          <w:tcPr>
            <w:tcW w:w="8645" w:type="dxa"/>
            <w:gridSpan w:val="4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b/>
                <w:lang w:eastAsia="pt-BR"/>
              </w:rPr>
              <w:t>Órgão Responsável:</w:t>
            </w:r>
          </w:p>
        </w:tc>
        <w:bookmarkStart w:id="0" w:name="_GoBack"/>
        <w:bookmarkEnd w:id="0"/>
      </w:tr>
      <w:tr w:rsidR="009159AE" w:rsidRPr="009159AE" w:rsidTr="002D07E6">
        <w:trPr>
          <w:trHeight w:val="286"/>
        </w:trPr>
        <w:tc>
          <w:tcPr>
            <w:tcW w:w="6862" w:type="dxa"/>
            <w:gridSpan w:val="2"/>
            <w:vMerge w:val="restart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Assinatura e carimbo do responsável</w:t>
            </w:r>
          </w:p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Sim</w:t>
            </w:r>
          </w:p>
        </w:tc>
        <w:tc>
          <w:tcPr>
            <w:tcW w:w="906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Não</w:t>
            </w:r>
          </w:p>
        </w:tc>
      </w:tr>
      <w:tr w:rsidR="009159AE" w:rsidRPr="009159AE" w:rsidTr="002D07E6">
        <w:trPr>
          <w:trHeight w:val="376"/>
        </w:trPr>
        <w:tc>
          <w:tcPr>
            <w:tcW w:w="6862" w:type="dxa"/>
            <w:gridSpan w:val="2"/>
            <w:vMerge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</w:p>
        </w:tc>
        <w:tc>
          <w:tcPr>
            <w:tcW w:w="906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N</w:t>
            </w:r>
          </w:p>
        </w:tc>
      </w:tr>
      <w:tr w:rsidR="009159AE" w:rsidRPr="009159AE" w:rsidTr="002D07E6">
        <w:tc>
          <w:tcPr>
            <w:tcW w:w="576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6286" w:type="dxa"/>
          </w:tcPr>
          <w:p w:rsidR="009159AE" w:rsidRPr="009159AE" w:rsidRDefault="009159AE" w:rsidP="009159A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Foi juntada aos autos a planilha consolidada contendo todas as cedências realizadas com o Município signatário ao longo de toda a vigência do Convênio constando: nome do servidor cedido, número do processo específico a ele referente aberto no órgão de origem; a natureza da cedência, se sem ônus ou com ônus mediante reembolso; o valor da remuneração acrescida dos encargos legais; órgão de origem; número do Decreto que autorizou a cedência e a data de sua publicação no D.O. do Estado; período da cedência?</w:t>
            </w:r>
          </w:p>
        </w:tc>
        <w:tc>
          <w:tcPr>
            <w:tcW w:w="877" w:type="dxa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9159AE" w:rsidRPr="009159AE" w:rsidTr="002D07E6">
        <w:tc>
          <w:tcPr>
            <w:tcW w:w="576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6286" w:type="dxa"/>
          </w:tcPr>
          <w:p w:rsidR="009159AE" w:rsidRPr="009159AE" w:rsidRDefault="009159AE" w:rsidP="009159A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Foram juntadas aos autos todas as planilhas mensais correspondentes ao tempo de vigência do Convênio atualizadas encaminhadas à SEFAZ contendo a remuneração e os encargos legais dos servidores cedidos com ônus para origem, mediante reembolso, do Município, de forma a propiciar o abatimento, para fins de compensação, com os repasses relativos ao ICMS de que o Município cessionário seja credor em face do Estado, conforme art. 5º do Decreto Estadual n. 14.905/2017?</w:t>
            </w:r>
          </w:p>
          <w:p w:rsidR="009159AE" w:rsidRPr="009159AE" w:rsidRDefault="009159AE" w:rsidP="009159A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9159AE" w:rsidRPr="009159AE" w:rsidTr="002D07E6">
        <w:tc>
          <w:tcPr>
            <w:tcW w:w="576" w:type="dxa"/>
          </w:tcPr>
          <w:p w:rsidR="009159AE" w:rsidRPr="009159AE" w:rsidRDefault="009159AE" w:rsidP="009159A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</w:p>
        </w:tc>
        <w:tc>
          <w:tcPr>
            <w:tcW w:w="6286" w:type="dxa"/>
          </w:tcPr>
          <w:p w:rsidR="009159AE" w:rsidRPr="009159AE" w:rsidRDefault="009159AE" w:rsidP="009159A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159AE">
              <w:rPr>
                <w:rFonts w:ascii="Times New Roman" w:eastAsia="Times New Roman" w:hAnsi="Times New Roman" w:cs="Times New Roman"/>
                <w:lang w:eastAsia="pt-BR"/>
              </w:rPr>
              <w:t>Foi observado o prazo de duração do Convênio (advento do termo final) com vistas ao encerramento do processo?</w:t>
            </w:r>
          </w:p>
        </w:tc>
        <w:tc>
          <w:tcPr>
            <w:tcW w:w="877" w:type="dxa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9159AE" w:rsidRPr="009159AE" w:rsidRDefault="009159AE" w:rsidP="009159A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9159AE" w:rsidRPr="009159AE" w:rsidRDefault="009159AE" w:rsidP="009159AE">
      <w:pPr>
        <w:spacing w:after="0" w:line="26" w:lineRule="atLeast"/>
        <w:rPr>
          <w:rFonts w:ascii="Times New Roman" w:eastAsia="Times New Roman" w:hAnsi="Times New Roman" w:cs="Times New Roman"/>
          <w:lang w:eastAsia="pt-BR"/>
        </w:rPr>
      </w:pPr>
    </w:p>
    <w:p w:rsidR="009159AE" w:rsidRPr="009159AE" w:rsidRDefault="009159AE" w:rsidP="009159AE">
      <w:pPr>
        <w:spacing w:after="0" w:line="26" w:lineRule="atLeast"/>
        <w:rPr>
          <w:rFonts w:ascii="Times New Roman" w:eastAsia="Times New Roman" w:hAnsi="Times New Roman" w:cs="Times New Roman"/>
          <w:lang w:eastAsia="pt-BR"/>
        </w:rPr>
      </w:pPr>
      <w:r w:rsidRPr="009159AE">
        <w:rPr>
          <w:rFonts w:ascii="Times New Roman" w:eastAsia="Times New Roman" w:hAnsi="Times New Roman" w:cs="Times New Roman"/>
          <w:lang w:eastAsia="pt-BR"/>
        </w:rPr>
        <w:t>***</w:t>
      </w:r>
      <w:proofErr w:type="gramStart"/>
      <w:r w:rsidRPr="009159AE">
        <w:rPr>
          <w:rFonts w:ascii="Times New Roman" w:eastAsia="Times New Roman" w:hAnsi="Times New Roman" w:cs="Times New Roman"/>
          <w:lang w:eastAsia="pt-BR"/>
        </w:rPr>
        <w:t xml:space="preserve">O  </w:t>
      </w:r>
      <w:proofErr w:type="spellStart"/>
      <w:r w:rsidRPr="009159AE">
        <w:rPr>
          <w:rFonts w:ascii="Times New Roman" w:eastAsia="Times New Roman" w:hAnsi="Times New Roman" w:cs="Times New Roman"/>
          <w:i/>
          <w:lang w:eastAsia="pt-BR"/>
        </w:rPr>
        <w:t>check</w:t>
      </w:r>
      <w:proofErr w:type="spellEnd"/>
      <w:proofErr w:type="gramEnd"/>
      <w:r w:rsidRPr="009159AE">
        <w:rPr>
          <w:rFonts w:ascii="Times New Roman" w:eastAsia="Times New Roman" w:hAnsi="Times New Roman" w:cs="Times New Roman"/>
          <w:i/>
          <w:lang w:eastAsia="pt-BR"/>
        </w:rPr>
        <w:t xml:space="preserve"> </w:t>
      </w:r>
      <w:proofErr w:type="spellStart"/>
      <w:r w:rsidRPr="009159AE">
        <w:rPr>
          <w:rFonts w:ascii="Times New Roman" w:eastAsia="Times New Roman" w:hAnsi="Times New Roman" w:cs="Times New Roman"/>
          <w:i/>
          <w:lang w:eastAsia="pt-BR"/>
        </w:rPr>
        <w:t>list</w:t>
      </w:r>
      <w:proofErr w:type="spellEnd"/>
      <w:r w:rsidRPr="009159AE">
        <w:rPr>
          <w:rFonts w:ascii="Times New Roman" w:eastAsia="Times New Roman" w:hAnsi="Times New Roman" w:cs="Times New Roman"/>
          <w:i/>
          <w:lang w:eastAsia="pt-BR"/>
        </w:rPr>
        <w:t xml:space="preserve"> final </w:t>
      </w:r>
      <w:r w:rsidRPr="009159AE">
        <w:rPr>
          <w:rFonts w:ascii="Times New Roman" w:eastAsia="Times New Roman" w:hAnsi="Times New Roman" w:cs="Times New Roman"/>
          <w:lang w:eastAsia="pt-BR"/>
        </w:rPr>
        <w:t xml:space="preserve"> será feito ao término do prazo do Convênio, o qual atestará a regularidade de todo o procedimento, propiciando o encerramento do processo. </w:t>
      </w:r>
    </w:p>
    <w:p w:rsidR="009159AE" w:rsidRPr="009159AE" w:rsidRDefault="009159AE" w:rsidP="009159AE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E5F73" w:rsidRDefault="001E5F73"/>
    <w:sectPr w:rsidR="001E5F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2B" w:rsidRDefault="00AA602B" w:rsidP="00AA602B">
      <w:pPr>
        <w:spacing w:after="0" w:line="240" w:lineRule="auto"/>
      </w:pPr>
      <w:r>
        <w:separator/>
      </w:r>
    </w:p>
  </w:endnote>
  <w:endnote w:type="continuationSeparator" w:id="0">
    <w:p w:rsidR="00AA602B" w:rsidRDefault="00AA602B" w:rsidP="00AA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2B" w:rsidRPr="00234E0B" w:rsidRDefault="00AA602B" w:rsidP="00AA602B">
    <w:pPr>
      <w:tabs>
        <w:tab w:val="left" w:pos="709"/>
      </w:tabs>
      <w:ind w:right="360"/>
      <w:rPr>
        <w:rFonts w:ascii="Calibri" w:hAnsi="Calibri" w:cs="Calibri"/>
        <w:sz w:val="18"/>
        <w:szCs w:val="20"/>
      </w:rPr>
    </w:pPr>
    <w:r w:rsidRPr="00234E0B">
      <w:rPr>
        <w:rFonts w:ascii="Calibri" w:hAnsi="Calibri" w:cs="Calibri"/>
        <w:sz w:val="18"/>
        <w:szCs w:val="20"/>
      </w:rPr>
      <w:t>Parque dos Poderes – Bloco IV        |        Campo Grande – MS        |      CEP 79.031-310</w:t>
    </w:r>
  </w:p>
  <w:p w:rsidR="00AA602B" w:rsidRPr="00234E0B" w:rsidRDefault="00AA602B" w:rsidP="00AA602B">
    <w:pPr>
      <w:tabs>
        <w:tab w:val="left" w:pos="709"/>
      </w:tabs>
      <w:ind w:right="360"/>
      <w:rPr>
        <w:rFonts w:ascii="Calibri" w:hAnsi="Calibri" w:cs="Calibri"/>
        <w:sz w:val="18"/>
        <w:szCs w:val="20"/>
      </w:rPr>
    </w:pPr>
    <w:r w:rsidRPr="00234E0B">
      <w:rPr>
        <w:rFonts w:ascii="Calibri" w:hAnsi="Calibri" w:cs="Calibri"/>
        <w:b/>
        <w:sz w:val="18"/>
        <w:szCs w:val="20"/>
      </w:rPr>
      <w:t>www.pge.ms.gov.br</w:t>
    </w:r>
    <w:r w:rsidRPr="00234E0B">
      <w:rPr>
        <w:rFonts w:ascii="Calibri" w:hAnsi="Calibri" w:cs="Calibri"/>
        <w:sz w:val="18"/>
        <w:szCs w:val="20"/>
      </w:rPr>
      <w:t xml:space="preserve">    </w:t>
    </w:r>
    <w:r w:rsidRPr="00234E0B">
      <w:rPr>
        <w:rFonts w:ascii="Calibri" w:hAnsi="Calibri" w:cs="Calibri"/>
        <w:sz w:val="18"/>
        <w:szCs w:val="20"/>
      </w:rPr>
      <w:tab/>
      <w:t xml:space="preserve"> </w:t>
    </w:r>
    <w:r w:rsidRPr="00234E0B">
      <w:rPr>
        <w:rFonts w:ascii="Calibri" w:hAnsi="Calibri" w:cs="Calibri"/>
        <w:sz w:val="18"/>
        <w:szCs w:val="20"/>
      </w:rPr>
      <w:tab/>
      <w:t xml:space="preserve">       </w:t>
    </w:r>
  </w:p>
  <w:p w:rsidR="00AA602B" w:rsidRDefault="00AA602B" w:rsidP="00AA60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2B" w:rsidRDefault="00AA602B" w:rsidP="00AA602B">
      <w:pPr>
        <w:spacing w:after="0" w:line="240" w:lineRule="auto"/>
      </w:pPr>
      <w:r>
        <w:separator/>
      </w:r>
    </w:p>
  </w:footnote>
  <w:footnote w:type="continuationSeparator" w:id="0">
    <w:p w:rsidR="00AA602B" w:rsidRDefault="00AA602B" w:rsidP="00AA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704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</w:tblGrid>
    <w:tr w:rsidR="00AA602B" w:rsidRPr="00114EFF" w:rsidTr="00AA602B">
      <w:tc>
        <w:tcPr>
          <w:tcW w:w="3794" w:type="dxa"/>
          <w:shd w:val="clear" w:color="auto" w:fill="auto"/>
        </w:tcPr>
        <w:p w:rsidR="00AA602B" w:rsidRPr="00F704E4" w:rsidRDefault="00AA602B" w:rsidP="00AA602B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/>
              <w:bCs/>
              <w:sz w:val="24"/>
              <w:szCs w:val="24"/>
            </w:rPr>
            <w:t>CJUR/SAD</w:t>
          </w:r>
        </w:p>
        <w:p w:rsidR="00AA602B" w:rsidRPr="00F704E4" w:rsidRDefault="00AA602B" w:rsidP="00AA602B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Coordenad</w:t>
          </w:r>
          <w:r>
            <w:rPr>
              <w:rFonts w:ascii="Calibri Light" w:hAnsi="Calibri Light" w:cs="Calibri Light"/>
              <w:bCs/>
              <w:sz w:val="24"/>
              <w:szCs w:val="24"/>
            </w:rPr>
            <w:t>o</w:t>
          </w: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ria Jurídica na Secretaria de Estado de Administração e Desburocratização - SAD</w:t>
          </w:r>
        </w:p>
      </w:tc>
    </w:tr>
  </w:tbl>
  <w:p w:rsidR="00AA602B" w:rsidRDefault="00AA60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D4"/>
    <w:rsid w:val="001E5F73"/>
    <w:rsid w:val="005E4ED4"/>
    <w:rsid w:val="009159AE"/>
    <w:rsid w:val="00A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986ED-A5C6-4787-ABB0-00DCE69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6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02B"/>
  </w:style>
  <w:style w:type="paragraph" w:styleId="Rodap">
    <w:name w:val="footer"/>
    <w:basedOn w:val="Normal"/>
    <w:link w:val="RodapChar"/>
    <w:uiPriority w:val="99"/>
    <w:unhideWhenUsed/>
    <w:rsid w:val="00AA6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2024-02-28T17:43:00Z</dcterms:created>
  <dcterms:modified xsi:type="dcterms:W3CDTF">2024-06-17T15:31:00Z</dcterms:modified>
</cp:coreProperties>
</file>