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093" w:rsidRPr="001B7093" w:rsidRDefault="001B7093" w:rsidP="001B7093">
      <w:pPr>
        <w:widowControl w:val="0"/>
        <w:spacing w:after="0" w:line="240" w:lineRule="auto"/>
        <w:jc w:val="center"/>
        <w:rPr>
          <w:rFonts w:ascii="Arial" w:eastAsia="Times New Roman" w:hAnsi="Arial" w:cs="Arial"/>
          <w:b/>
          <w:sz w:val="20"/>
          <w:szCs w:val="20"/>
          <w:lang w:eastAsia="pt-BR"/>
        </w:rPr>
      </w:pPr>
      <w:r w:rsidRPr="001B7093">
        <w:rPr>
          <w:rFonts w:ascii="Arial" w:eastAsia="Times New Roman" w:hAnsi="Arial" w:cs="Arial"/>
          <w:b/>
          <w:sz w:val="20"/>
          <w:szCs w:val="20"/>
          <w:lang w:eastAsia="pt-BR"/>
        </w:rPr>
        <w:t xml:space="preserve">ANEXO </w:t>
      </w:r>
      <w:r w:rsidRPr="001B7093">
        <w:rPr>
          <w:rFonts w:ascii="Arial" w:eastAsia="Times New Roman" w:hAnsi="Arial" w:cs="Arial"/>
          <w:b/>
          <w:color w:val="FF0000"/>
          <w:sz w:val="20"/>
          <w:szCs w:val="20"/>
          <w:highlight w:val="yellow"/>
          <w:lang w:eastAsia="pt-BR"/>
        </w:rPr>
        <w:t>N</w:t>
      </w:r>
    </w:p>
    <w:p w:rsidR="001B7093" w:rsidRPr="001B7093" w:rsidRDefault="001B7093" w:rsidP="001B7093">
      <w:pPr>
        <w:keepNext/>
        <w:widowControl w:val="0"/>
        <w:suppressAutoHyphens/>
        <w:spacing w:after="0" w:line="240" w:lineRule="auto"/>
        <w:jc w:val="center"/>
        <w:outlineLvl w:val="0"/>
        <w:rPr>
          <w:rFonts w:ascii="Arial" w:eastAsia="Times New Roman" w:hAnsi="Arial" w:cs="Arial"/>
          <w:b/>
          <w:sz w:val="20"/>
          <w:szCs w:val="20"/>
          <w:lang w:eastAsia="ar-SA"/>
        </w:rPr>
      </w:pPr>
      <w:r w:rsidRPr="001B7093">
        <w:rPr>
          <w:rFonts w:ascii="Arial" w:eastAsia="Times New Roman" w:hAnsi="Arial" w:cs="Arial"/>
          <w:b/>
          <w:sz w:val="20"/>
          <w:szCs w:val="20"/>
          <w:lang w:eastAsia="ar-SA"/>
        </w:rPr>
        <w:t>ATA DE REGISTRO DE PREÇOS Nº</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tabs>
          <w:tab w:val="center" w:pos="4779"/>
          <w:tab w:val="right" w:pos="9198"/>
        </w:tabs>
        <w:autoSpaceDE w:val="0"/>
        <w:autoSpaceDN w:val="0"/>
        <w:adjustRightInd w:val="0"/>
        <w:ind w:right="-28"/>
        <w:jc w:val="both"/>
        <w:rPr>
          <w:rFonts w:ascii="Arial" w:eastAsia="Calibri" w:hAnsi="Arial" w:cs="Arial"/>
          <w:sz w:val="20"/>
          <w:szCs w:val="20"/>
        </w:rPr>
      </w:pPr>
      <w:r w:rsidRPr="001B7093">
        <w:rPr>
          <w:rFonts w:ascii="Arial" w:eastAsia="Times New Roman" w:hAnsi="Arial" w:cs="Arial"/>
          <w:color w:val="FF0000"/>
          <w:sz w:val="20"/>
          <w:szCs w:val="20"/>
          <w:highlight w:val="yellow"/>
          <w:lang w:eastAsia="pt-BR"/>
        </w:rPr>
        <w:t xml:space="preserve">O/A </w:t>
      </w:r>
      <w:r w:rsidRPr="001B7093">
        <w:rPr>
          <w:rFonts w:ascii="Arial" w:eastAsia="Times New Roman" w:hAnsi="Arial" w:cs="Arial"/>
          <w:b/>
          <w:bCs/>
          <w:color w:val="FF0000"/>
          <w:sz w:val="20"/>
          <w:szCs w:val="20"/>
          <w:highlight w:val="yellow"/>
          <w:lang w:eastAsia="pt-BR"/>
        </w:rPr>
        <w:t>................................</w:t>
      </w:r>
      <w:r w:rsidRPr="001B7093">
        <w:rPr>
          <w:rFonts w:ascii="Arial" w:eastAsia="Times New Roman" w:hAnsi="Arial" w:cs="Arial"/>
          <w:color w:val="FF0000"/>
          <w:sz w:val="20"/>
          <w:szCs w:val="20"/>
          <w:highlight w:val="yellow"/>
          <w:lang w:eastAsia="pt-BR"/>
        </w:rPr>
        <w:t xml:space="preserve">, por meio da </w:t>
      </w:r>
      <w:r w:rsidRPr="001B7093">
        <w:rPr>
          <w:rFonts w:ascii="Arial" w:eastAsia="Times New Roman" w:hAnsi="Arial" w:cs="Arial"/>
          <w:b/>
          <w:bCs/>
          <w:color w:val="FF0000"/>
          <w:sz w:val="20"/>
          <w:szCs w:val="20"/>
          <w:highlight w:val="yellow"/>
          <w:lang w:eastAsia="pt-BR"/>
        </w:rPr>
        <w:t>...........................................</w:t>
      </w:r>
      <w:r w:rsidRPr="001B7093">
        <w:rPr>
          <w:rFonts w:ascii="Arial" w:eastAsia="Times New Roman" w:hAnsi="Arial" w:cs="Arial"/>
          <w:color w:val="FF0000"/>
          <w:sz w:val="20"/>
          <w:szCs w:val="20"/>
          <w:highlight w:val="yellow"/>
          <w:lang w:eastAsia="pt-BR"/>
        </w:rPr>
        <w:t>,</w:t>
      </w:r>
      <w:r w:rsidRPr="001B7093">
        <w:rPr>
          <w:rFonts w:ascii="Arial" w:eastAsia="Times New Roman" w:hAnsi="Arial" w:cs="Arial"/>
          <w:color w:val="FF0000"/>
          <w:sz w:val="20"/>
          <w:szCs w:val="20"/>
          <w:lang w:eastAsia="pt-BR"/>
        </w:rPr>
        <w:t xml:space="preserve"> </w:t>
      </w:r>
      <w:r w:rsidRPr="001B7093">
        <w:rPr>
          <w:rFonts w:ascii="Arial" w:eastAsia="Times New Roman" w:hAnsi="Arial" w:cs="Arial"/>
          <w:sz w:val="20"/>
          <w:szCs w:val="20"/>
          <w:lang w:eastAsia="pt-BR"/>
        </w:rPr>
        <w:t xml:space="preserve">pessoa jurídica de direito público interno, inscrita no CNPJ sob nº </w:t>
      </w:r>
      <w:r w:rsidRPr="001B7093">
        <w:rPr>
          <w:rFonts w:ascii="Arial" w:eastAsia="Times New Roman" w:hAnsi="Arial" w:cs="Arial"/>
          <w:color w:val="FF0000"/>
          <w:sz w:val="20"/>
          <w:szCs w:val="20"/>
          <w:highlight w:val="yellow"/>
          <w:lang w:eastAsia="pt-BR"/>
        </w:rPr>
        <w:t>..............</w:t>
      </w:r>
      <w:r w:rsidRPr="001B7093">
        <w:rPr>
          <w:rFonts w:ascii="Arial" w:eastAsia="Times New Roman" w:hAnsi="Arial" w:cs="Arial"/>
          <w:sz w:val="20"/>
          <w:szCs w:val="20"/>
          <w:lang w:eastAsia="pt-BR"/>
        </w:rPr>
        <w:t xml:space="preserve">, estabelecida no </w:t>
      </w:r>
      <w:r w:rsidRPr="001B7093">
        <w:rPr>
          <w:rFonts w:ascii="Arial" w:eastAsia="Times New Roman" w:hAnsi="Arial" w:cs="Arial"/>
          <w:color w:val="FF0000"/>
          <w:sz w:val="20"/>
          <w:szCs w:val="20"/>
          <w:highlight w:val="yellow"/>
          <w:lang w:eastAsia="pt-BR"/>
        </w:rPr>
        <w:t>.............</w:t>
      </w:r>
      <w:r w:rsidRPr="001B7093">
        <w:rPr>
          <w:rFonts w:ascii="Arial" w:eastAsia="Times New Roman" w:hAnsi="Arial" w:cs="Arial"/>
          <w:sz w:val="20"/>
          <w:szCs w:val="20"/>
          <w:lang w:eastAsia="pt-BR"/>
        </w:rPr>
        <w:t xml:space="preserve">, nesta Capital, neste ato representada </w:t>
      </w:r>
      <w:proofErr w:type="gramStart"/>
      <w:r w:rsidRPr="001B7093">
        <w:rPr>
          <w:rFonts w:ascii="Arial" w:eastAsia="Arial" w:hAnsi="Arial" w:cs="Arial"/>
          <w:sz w:val="20"/>
          <w:szCs w:val="20"/>
        </w:rPr>
        <w:t>pelo(</w:t>
      </w:r>
      <w:proofErr w:type="gramEnd"/>
      <w:r w:rsidRPr="001B7093">
        <w:rPr>
          <w:rFonts w:ascii="Arial" w:eastAsia="Arial" w:hAnsi="Arial" w:cs="Arial"/>
          <w:sz w:val="20"/>
          <w:szCs w:val="20"/>
        </w:rPr>
        <w:t xml:space="preserve">a) </w:t>
      </w:r>
      <w:r w:rsidRPr="001B7093">
        <w:rPr>
          <w:rFonts w:ascii="Arial" w:eastAsia="Arial" w:hAnsi="Arial" w:cs="Arial"/>
          <w:color w:val="FF0000"/>
          <w:sz w:val="20"/>
          <w:szCs w:val="20"/>
          <w:highlight w:val="yellow"/>
        </w:rPr>
        <w:t>......................... (</w:t>
      </w:r>
      <w:proofErr w:type="gramStart"/>
      <w:r w:rsidRPr="001B7093">
        <w:rPr>
          <w:rFonts w:ascii="Arial" w:eastAsia="Arial" w:hAnsi="Arial" w:cs="Arial"/>
          <w:i/>
          <w:iCs/>
          <w:color w:val="FF0000"/>
          <w:sz w:val="20"/>
          <w:szCs w:val="20"/>
          <w:highlight w:val="yellow"/>
        </w:rPr>
        <w:t>cargo</w:t>
      </w:r>
      <w:proofErr w:type="gramEnd"/>
      <w:r w:rsidRPr="001B7093">
        <w:rPr>
          <w:rFonts w:ascii="Arial" w:eastAsia="Arial" w:hAnsi="Arial" w:cs="Arial"/>
          <w:i/>
          <w:iCs/>
          <w:color w:val="FF0000"/>
          <w:sz w:val="20"/>
          <w:szCs w:val="20"/>
          <w:highlight w:val="yellow"/>
        </w:rPr>
        <w:t xml:space="preserve"> e nome</w:t>
      </w:r>
      <w:r w:rsidRPr="001B7093">
        <w:rPr>
          <w:rFonts w:ascii="Arial" w:eastAsia="Arial" w:hAnsi="Arial" w:cs="Arial"/>
          <w:color w:val="FF0000"/>
          <w:sz w:val="20"/>
          <w:szCs w:val="20"/>
          <w:highlight w:val="yellow"/>
        </w:rPr>
        <w:t>)</w:t>
      </w:r>
      <w:r w:rsidRPr="001B7093">
        <w:rPr>
          <w:rFonts w:ascii="Arial" w:eastAsia="Arial" w:hAnsi="Arial" w:cs="Arial"/>
          <w:sz w:val="20"/>
          <w:szCs w:val="20"/>
          <w:highlight w:val="yellow"/>
        </w:rPr>
        <w:t>,</w:t>
      </w:r>
      <w:r w:rsidRPr="001B7093">
        <w:rPr>
          <w:rFonts w:ascii="Arial" w:eastAsia="Arial" w:hAnsi="Arial" w:cs="Arial"/>
          <w:sz w:val="20"/>
          <w:szCs w:val="20"/>
        </w:rPr>
        <w:t xml:space="preserve"> nomeado(a) pela </w:t>
      </w:r>
      <w:r w:rsidRPr="001B7093">
        <w:rPr>
          <w:rFonts w:ascii="Arial" w:eastAsia="Arial" w:hAnsi="Arial" w:cs="Arial"/>
          <w:color w:val="FF0000"/>
          <w:sz w:val="20"/>
          <w:szCs w:val="20"/>
          <w:highlight w:val="yellow"/>
        </w:rPr>
        <w:t>Portaria/Resolução</w:t>
      </w:r>
      <w:r w:rsidRPr="001B7093">
        <w:rPr>
          <w:rFonts w:ascii="Arial" w:eastAsia="Arial" w:hAnsi="Arial" w:cs="Arial"/>
          <w:color w:val="FF0000"/>
          <w:sz w:val="20"/>
          <w:szCs w:val="20"/>
        </w:rPr>
        <w:t xml:space="preserve"> </w:t>
      </w:r>
      <w:r w:rsidRPr="001B7093">
        <w:rPr>
          <w:rFonts w:ascii="Arial" w:eastAsia="Arial" w:hAnsi="Arial" w:cs="Arial"/>
          <w:sz w:val="20"/>
          <w:szCs w:val="20"/>
        </w:rPr>
        <w:t xml:space="preserve">nº </w:t>
      </w:r>
      <w:r w:rsidRPr="001B7093">
        <w:rPr>
          <w:rFonts w:ascii="Arial" w:eastAsia="Arial" w:hAnsi="Arial" w:cs="Arial"/>
          <w:color w:val="FF0000"/>
          <w:sz w:val="20"/>
          <w:szCs w:val="20"/>
          <w:highlight w:val="yellow"/>
        </w:rPr>
        <w:t>......</w:t>
      </w:r>
      <w:r w:rsidRPr="001B7093">
        <w:rPr>
          <w:rFonts w:ascii="Arial" w:eastAsia="Arial" w:hAnsi="Arial" w:cs="Arial"/>
          <w:sz w:val="20"/>
          <w:szCs w:val="20"/>
          <w:highlight w:val="yellow"/>
        </w:rPr>
        <w:t>,</w:t>
      </w:r>
      <w:r w:rsidRPr="001B7093">
        <w:rPr>
          <w:rFonts w:ascii="Arial" w:eastAsia="Arial" w:hAnsi="Arial" w:cs="Arial"/>
          <w:sz w:val="20"/>
          <w:szCs w:val="20"/>
        </w:rPr>
        <w:t xml:space="preserve"> de </w:t>
      </w:r>
      <w:r w:rsidRPr="001B7093">
        <w:rPr>
          <w:rFonts w:ascii="Arial" w:eastAsia="Arial" w:hAnsi="Arial" w:cs="Arial"/>
          <w:color w:val="FF0000"/>
          <w:sz w:val="20"/>
          <w:szCs w:val="20"/>
          <w:highlight w:val="yellow"/>
        </w:rPr>
        <w:t>.....</w:t>
      </w:r>
      <w:r w:rsidRPr="001B7093">
        <w:rPr>
          <w:rFonts w:ascii="Arial" w:eastAsia="Arial" w:hAnsi="Arial" w:cs="Arial"/>
          <w:sz w:val="20"/>
          <w:szCs w:val="20"/>
        </w:rPr>
        <w:t xml:space="preserve"> </w:t>
      </w:r>
      <w:proofErr w:type="gramStart"/>
      <w:r w:rsidRPr="001B7093">
        <w:rPr>
          <w:rFonts w:ascii="Arial" w:eastAsia="Arial" w:hAnsi="Arial" w:cs="Arial"/>
          <w:sz w:val="20"/>
          <w:szCs w:val="20"/>
        </w:rPr>
        <w:t>de</w:t>
      </w:r>
      <w:proofErr w:type="gramEnd"/>
      <w:r w:rsidRPr="001B7093">
        <w:rPr>
          <w:rFonts w:ascii="Arial" w:eastAsia="Arial" w:hAnsi="Arial" w:cs="Arial"/>
          <w:sz w:val="20"/>
          <w:szCs w:val="20"/>
        </w:rPr>
        <w:t xml:space="preserve"> </w:t>
      </w:r>
      <w:r w:rsidRPr="001B7093">
        <w:rPr>
          <w:rFonts w:ascii="Arial" w:eastAsia="Arial" w:hAnsi="Arial" w:cs="Arial"/>
          <w:color w:val="FF0000"/>
          <w:sz w:val="20"/>
          <w:szCs w:val="20"/>
          <w:highlight w:val="yellow"/>
        </w:rPr>
        <w:t>.....................</w:t>
      </w:r>
      <w:r w:rsidRPr="001B7093">
        <w:rPr>
          <w:rFonts w:ascii="Arial" w:eastAsia="Arial" w:hAnsi="Arial" w:cs="Arial"/>
          <w:sz w:val="20"/>
          <w:szCs w:val="20"/>
        </w:rPr>
        <w:t xml:space="preserve"> de 20</w:t>
      </w:r>
      <w:r w:rsidRPr="001B7093">
        <w:rPr>
          <w:rFonts w:ascii="Arial" w:eastAsia="Arial" w:hAnsi="Arial" w:cs="Arial"/>
          <w:color w:val="FF0000"/>
          <w:sz w:val="20"/>
          <w:szCs w:val="20"/>
          <w:highlight w:val="yellow"/>
        </w:rPr>
        <w:t>...</w:t>
      </w:r>
      <w:r w:rsidRPr="001B7093">
        <w:rPr>
          <w:rFonts w:ascii="Arial" w:eastAsia="Arial" w:hAnsi="Arial" w:cs="Arial"/>
          <w:sz w:val="20"/>
          <w:szCs w:val="20"/>
        </w:rPr>
        <w:t>, publicada no</w:t>
      </w:r>
      <w:r w:rsidRPr="001B7093">
        <w:rPr>
          <w:rFonts w:ascii="Arial" w:eastAsia="Arial" w:hAnsi="Arial" w:cs="Arial"/>
          <w:i/>
          <w:iCs/>
          <w:sz w:val="20"/>
          <w:szCs w:val="20"/>
        </w:rPr>
        <w:t xml:space="preserve"> DOE </w:t>
      </w:r>
      <w:r w:rsidRPr="001B7093">
        <w:rPr>
          <w:rFonts w:ascii="Arial" w:eastAsia="Arial" w:hAnsi="Arial" w:cs="Arial"/>
          <w:sz w:val="20"/>
          <w:szCs w:val="20"/>
        </w:rPr>
        <w:t xml:space="preserve">de </w:t>
      </w:r>
      <w:r w:rsidRPr="001B7093">
        <w:rPr>
          <w:rFonts w:ascii="Arial" w:eastAsia="Arial" w:hAnsi="Arial" w:cs="Arial"/>
          <w:color w:val="FF0000"/>
          <w:sz w:val="20"/>
          <w:szCs w:val="20"/>
          <w:highlight w:val="yellow"/>
        </w:rPr>
        <w:t>.....</w:t>
      </w:r>
      <w:r w:rsidRPr="001B7093">
        <w:rPr>
          <w:rFonts w:ascii="Arial" w:eastAsia="Arial" w:hAnsi="Arial" w:cs="Arial"/>
          <w:sz w:val="20"/>
          <w:szCs w:val="20"/>
        </w:rPr>
        <w:t xml:space="preserve"> de </w:t>
      </w:r>
      <w:r w:rsidRPr="001B7093">
        <w:rPr>
          <w:rFonts w:ascii="Arial" w:eastAsia="Arial" w:hAnsi="Arial" w:cs="Arial"/>
          <w:color w:val="FF0000"/>
          <w:sz w:val="20"/>
          <w:szCs w:val="20"/>
          <w:highlight w:val="yellow"/>
        </w:rPr>
        <w:t>...............</w:t>
      </w:r>
      <w:r w:rsidRPr="001B7093">
        <w:rPr>
          <w:rFonts w:ascii="Arial" w:eastAsia="Arial" w:hAnsi="Arial" w:cs="Arial"/>
          <w:sz w:val="20"/>
          <w:szCs w:val="20"/>
        </w:rPr>
        <w:t xml:space="preserve"> de </w:t>
      </w:r>
      <w:r w:rsidRPr="001B7093">
        <w:rPr>
          <w:rFonts w:ascii="Arial" w:eastAsia="Arial" w:hAnsi="Arial" w:cs="Arial"/>
          <w:color w:val="FF0000"/>
          <w:sz w:val="20"/>
          <w:szCs w:val="20"/>
          <w:highlight w:val="yellow"/>
        </w:rPr>
        <w:t>...........</w:t>
      </w:r>
      <w:r w:rsidRPr="001B7093">
        <w:rPr>
          <w:rFonts w:ascii="Arial" w:eastAsia="Arial" w:hAnsi="Arial" w:cs="Arial"/>
          <w:sz w:val="20"/>
          <w:szCs w:val="20"/>
          <w:highlight w:val="yellow"/>
        </w:rPr>
        <w:t>,</w:t>
      </w:r>
      <w:r w:rsidRPr="001B7093">
        <w:rPr>
          <w:rFonts w:ascii="Arial" w:eastAsia="Arial" w:hAnsi="Arial" w:cs="Arial"/>
          <w:sz w:val="20"/>
          <w:szCs w:val="20"/>
        </w:rPr>
        <w:t xml:space="preserve"> portador da Matrícula Funcional nº </w:t>
      </w:r>
      <w:r w:rsidRPr="001B7093">
        <w:rPr>
          <w:rFonts w:ascii="Arial" w:eastAsia="Arial" w:hAnsi="Arial" w:cs="Arial"/>
          <w:sz w:val="20"/>
          <w:szCs w:val="20"/>
          <w:highlight w:val="yellow"/>
        </w:rPr>
        <w:t>..........,</w:t>
      </w:r>
      <w:r w:rsidRPr="001B7093">
        <w:rPr>
          <w:rFonts w:ascii="Arial" w:eastAsia="Arial" w:hAnsi="Arial" w:cs="Arial"/>
          <w:sz w:val="20"/>
          <w:szCs w:val="20"/>
        </w:rPr>
        <w:t xml:space="preserve"> doravante denominado </w:t>
      </w:r>
      <w:r w:rsidRPr="001B7093">
        <w:rPr>
          <w:rFonts w:ascii="Arial" w:eastAsia="Arial" w:hAnsi="Arial" w:cs="Arial"/>
          <w:color w:val="FF0000"/>
          <w:sz w:val="20"/>
          <w:szCs w:val="20"/>
        </w:rPr>
        <w:t xml:space="preserve">ORGÃO/ENTIDADE </w:t>
      </w:r>
      <w:r w:rsidRPr="001B7093">
        <w:rPr>
          <w:rFonts w:ascii="Arial" w:eastAsia="Arial" w:hAnsi="Arial" w:cs="Arial"/>
          <w:sz w:val="20"/>
          <w:szCs w:val="20"/>
        </w:rPr>
        <w:t>GERENCIADOR e</w:t>
      </w:r>
      <w:r w:rsidRPr="001B7093">
        <w:rPr>
          <w:rFonts w:ascii="Arial" w:eastAsia="Times New Roman" w:hAnsi="Arial" w:cs="Arial"/>
          <w:sz w:val="20"/>
          <w:szCs w:val="20"/>
          <w:lang w:eastAsia="pt-BR"/>
        </w:rPr>
        <w:t xml:space="preserve"> o(s) fornecedor(es) abaixo qualificado(s), doravante denominado(s) DETENTOR DA ATA, resolvem firmar a presente </w:t>
      </w:r>
      <w:r w:rsidRPr="001B7093">
        <w:rPr>
          <w:rFonts w:ascii="Arial" w:eastAsia="Times New Roman" w:hAnsi="Arial" w:cs="Arial"/>
          <w:b/>
          <w:bCs/>
          <w:sz w:val="20"/>
          <w:szCs w:val="20"/>
          <w:lang w:eastAsia="pt-BR"/>
        </w:rPr>
        <w:t xml:space="preserve">ATA DE REGISTRO DE PREÇOS </w:t>
      </w:r>
      <w:r w:rsidRPr="001B7093">
        <w:rPr>
          <w:rFonts w:ascii="Arial" w:eastAsia="Times New Roman" w:hAnsi="Arial" w:cs="Arial"/>
          <w:b/>
          <w:bCs/>
          <w:color w:val="FF0000"/>
          <w:sz w:val="20"/>
          <w:szCs w:val="20"/>
          <w:highlight w:val="yellow"/>
          <w:lang w:eastAsia="pt-BR"/>
        </w:rPr>
        <w:t>DE</w:t>
      </w:r>
      <w:r w:rsidRPr="001B7093">
        <w:rPr>
          <w:rFonts w:ascii="Arial" w:eastAsia="Times New Roman" w:hAnsi="Arial" w:cs="Arial"/>
          <w:b/>
          <w:bCs/>
          <w:color w:val="FF0000"/>
          <w:sz w:val="20"/>
          <w:szCs w:val="20"/>
          <w:lang w:eastAsia="pt-BR"/>
        </w:rPr>
        <w:t xml:space="preserve"> </w:t>
      </w:r>
      <w:r w:rsidRPr="001B7093">
        <w:rPr>
          <w:rFonts w:ascii="Arial" w:eastAsia="Times New Roman" w:hAnsi="Arial" w:cs="Arial"/>
          <w:b/>
          <w:bCs/>
          <w:color w:val="FF0000"/>
          <w:sz w:val="20"/>
          <w:szCs w:val="20"/>
          <w:highlight w:val="yellow"/>
          <w:lang w:eastAsia="pt-BR"/>
        </w:rPr>
        <w:t>.........................</w:t>
      </w:r>
      <w:r w:rsidRPr="001B7093">
        <w:rPr>
          <w:rFonts w:ascii="Arial" w:eastAsia="Times New Roman" w:hAnsi="Arial" w:cs="Arial"/>
          <w:sz w:val="20"/>
          <w:szCs w:val="20"/>
          <w:lang w:eastAsia="pt-BR"/>
        </w:rPr>
        <w:t>,</w:t>
      </w:r>
      <w:r w:rsidRPr="001B7093">
        <w:rPr>
          <w:rFonts w:ascii="Arial" w:eastAsia="Times New Roman" w:hAnsi="Arial" w:cs="Arial"/>
          <w:color w:val="FF0000"/>
          <w:sz w:val="20"/>
          <w:szCs w:val="20"/>
          <w:lang w:eastAsia="pt-BR"/>
        </w:rPr>
        <w:t xml:space="preserve"> </w:t>
      </w:r>
      <w:r w:rsidRPr="001B7093">
        <w:rPr>
          <w:rFonts w:ascii="Arial" w:eastAsia="Arial" w:hAnsi="Arial" w:cs="Arial"/>
          <w:sz w:val="20"/>
          <w:szCs w:val="20"/>
          <w:lang w:eastAsia="pt-BR"/>
        </w:rPr>
        <w:t xml:space="preserve">decorrente da licitação na modalidade Pregão Eletrônico nº </w:t>
      </w:r>
      <w:r w:rsidRPr="001B7093">
        <w:rPr>
          <w:rFonts w:ascii="Arial" w:eastAsia="Arial" w:hAnsi="Arial" w:cs="Arial"/>
          <w:b/>
          <w:bCs/>
          <w:color w:val="FF0000"/>
          <w:sz w:val="20"/>
          <w:szCs w:val="20"/>
          <w:highlight w:val="yellow"/>
          <w:lang w:eastAsia="pt-BR"/>
        </w:rPr>
        <w:t>....../20.....</w:t>
      </w:r>
      <w:r w:rsidRPr="001B7093">
        <w:rPr>
          <w:rFonts w:ascii="Arial" w:eastAsia="Arial" w:hAnsi="Arial" w:cs="Arial"/>
          <w:b/>
          <w:bCs/>
          <w:sz w:val="20"/>
          <w:szCs w:val="20"/>
          <w:lang w:eastAsia="pt-BR"/>
        </w:rPr>
        <w:t>,</w:t>
      </w:r>
      <w:r w:rsidRPr="001B7093">
        <w:rPr>
          <w:rFonts w:ascii="Arial" w:eastAsia="Arial" w:hAnsi="Arial" w:cs="Arial"/>
          <w:sz w:val="20"/>
          <w:szCs w:val="20"/>
          <w:lang w:eastAsia="pt-BR"/>
        </w:rPr>
        <w:t xml:space="preserve"> processo nº </w:t>
      </w:r>
      <w:r w:rsidRPr="001B7093">
        <w:rPr>
          <w:rFonts w:ascii="Arial" w:eastAsia="Arial" w:hAnsi="Arial" w:cs="Arial"/>
          <w:b/>
          <w:bCs/>
          <w:color w:val="FF0000"/>
          <w:sz w:val="20"/>
          <w:szCs w:val="20"/>
          <w:highlight w:val="yellow"/>
          <w:lang w:eastAsia="pt-BR"/>
        </w:rPr>
        <w:t>......./.............../20.....</w:t>
      </w:r>
      <w:r w:rsidRPr="001B7093">
        <w:rPr>
          <w:rFonts w:ascii="Arial" w:eastAsia="Arial" w:hAnsi="Arial" w:cs="Arial"/>
          <w:sz w:val="20"/>
          <w:szCs w:val="20"/>
          <w:lang w:eastAsia="pt-BR"/>
        </w:rPr>
        <w:t xml:space="preserve">, </w:t>
      </w:r>
      <w:r w:rsidRPr="001B7093">
        <w:rPr>
          <w:rFonts w:ascii="Arial" w:eastAsia="Calibri" w:hAnsi="Arial" w:cs="Arial"/>
          <w:sz w:val="20"/>
          <w:szCs w:val="20"/>
        </w:rPr>
        <w:t>de acordo com a classificação por ela(s) alcançada(s) e na(s)  quantidade(s)  cotada(s), atendendo às condições previstas no edital, sujeitando-se as partes às normas constantes na</w:t>
      </w:r>
      <w:r w:rsidRPr="001B7093">
        <w:rPr>
          <w:rFonts w:ascii="Arial" w:eastAsia="Arial" w:hAnsi="Arial" w:cs="Arial"/>
          <w:sz w:val="20"/>
          <w:szCs w:val="20"/>
          <w:lang w:eastAsia="pt-BR"/>
        </w:rPr>
        <w:t xml:space="preserve"> Lei nº 14.133, de 1º de abril de 2021, no Decreto nº 16.118, de 3 de março de 2023, Decreto nº 16.122, de 9 de março de 2023, e </w:t>
      </w:r>
      <w:r w:rsidRPr="001B7093">
        <w:rPr>
          <w:rFonts w:ascii="Arial" w:eastAsia="Calibri" w:hAnsi="Arial" w:cs="Arial"/>
          <w:sz w:val="20"/>
          <w:szCs w:val="20"/>
        </w:rPr>
        <w:t>em conformidade com as disposições a seguir:</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sz w:val="20"/>
          <w:szCs w:val="20"/>
          <w:lang w:eastAsia="pt-BR"/>
        </w:rPr>
        <w:t> </w:t>
      </w: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lang w:eastAsia="pt-BR"/>
        </w:rPr>
      </w:pPr>
      <w:r w:rsidRPr="001B7093">
        <w:rPr>
          <w:rFonts w:ascii="Arial" w:eastAsia="Times New Roman" w:hAnsi="Arial" w:cs="Times New Roman"/>
          <w:b/>
          <w:bCs/>
          <w:caps/>
          <w:color w:val="FFFFFF"/>
          <w:lang w:eastAsia="pt-BR"/>
        </w:rPr>
        <w:t xml:space="preserve">CLÁUSULA PRIMEIRA – das partes </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bCs/>
          <w:sz w:val="20"/>
          <w:szCs w:val="20"/>
          <w:lang w:eastAsia="pt-BR"/>
        </w:rPr>
        <w:t>1.1.</w:t>
      </w:r>
      <w:r w:rsidRPr="001B7093">
        <w:rPr>
          <w:rFonts w:ascii="Arial" w:eastAsia="Times New Roman" w:hAnsi="Arial" w:cs="Arial"/>
          <w:sz w:val="20"/>
          <w:szCs w:val="20"/>
          <w:lang w:eastAsia="pt-BR"/>
        </w:rPr>
        <w:t xml:space="preserve"> </w:t>
      </w:r>
      <w:r w:rsidRPr="001B7093">
        <w:rPr>
          <w:rFonts w:ascii="Arial" w:eastAsia="Times New Roman" w:hAnsi="Arial" w:cs="Arial"/>
          <w:b/>
          <w:sz w:val="20"/>
          <w:szCs w:val="20"/>
          <w:lang w:eastAsia="pt-BR"/>
        </w:rPr>
        <w:t>DETENTOR DA ATA</w:t>
      </w:r>
      <w:r w:rsidRPr="001B7093">
        <w:rPr>
          <w:rFonts w:ascii="Arial" w:eastAsia="Times New Roman" w:hAnsi="Arial" w:cs="Arial"/>
          <w:sz w:val="20"/>
          <w:szCs w:val="20"/>
          <w:lang w:eastAsia="pt-BR"/>
        </w:rPr>
        <w:t xml:space="preserve">: </w:t>
      </w:r>
      <w:r w:rsidRPr="001B7093">
        <w:rPr>
          <w:rFonts w:ascii="Arial" w:eastAsia="Times New Roman" w:hAnsi="Arial" w:cs="Arial"/>
          <w:color w:val="FF0000"/>
          <w:sz w:val="20"/>
          <w:szCs w:val="20"/>
          <w:lang w:eastAsia="pt-BR"/>
        </w:rPr>
        <w:t xml:space="preserve">Empresa ............, pessoa jurídica de direito privado, </w:t>
      </w:r>
      <w:r w:rsidRPr="001B7093">
        <w:rPr>
          <w:rFonts w:ascii="Arial" w:eastAsia="Times New Roman" w:hAnsi="Arial" w:cs="Arial"/>
          <w:iCs/>
          <w:color w:val="FF0000"/>
          <w:sz w:val="20"/>
          <w:szCs w:val="20"/>
          <w:lang w:eastAsia="pt-BR"/>
        </w:rPr>
        <w:t>inscrita no CNPJ/MF sob o nº ............................, sediada na</w:t>
      </w:r>
      <w:r w:rsidRPr="001B7093">
        <w:rPr>
          <w:rFonts w:ascii="Arial" w:eastAsia="Times New Roman" w:hAnsi="Arial" w:cs="Arial"/>
          <w:color w:val="FF0000"/>
          <w:sz w:val="20"/>
          <w:szCs w:val="20"/>
          <w:lang w:eastAsia="pt-BR"/>
        </w:rPr>
        <w:t xml:space="preserve"> ..................................., neste ato representada pelo </w:t>
      </w:r>
      <w:proofErr w:type="spellStart"/>
      <w:proofErr w:type="gramStart"/>
      <w:r w:rsidRPr="001B7093">
        <w:rPr>
          <w:rFonts w:ascii="Arial" w:eastAsia="Times New Roman" w:hAnsi="Arial" w:cs="Arial"/>
          <w:color w:val="FF0000"/>
          <w:sz w:val="20"/>
          <w:szCs w:val="20"/>
          <w:lang w:eastAsia="pt-BR"/>
        </w:rPr>
        <w:t>Sr</w:t>
      </w:r>
      <w:proofErr w:type="spellEnd"/>
      <w:r w:rsidRPr="001B7093">
        <w:rPr>
          <w:rFonts w:ascii="Arial" w:eastAsia="Times New Roman" w:hAnsi="Arial" w:cs="Arial"/>
          <w:color w:val="FF0000"/>
          <w:sz w:val="20"/>
          <w:szCs w:val="20"/>
          <w:lang w:eastAsia="pt-BR"/>
        </w:rPr>
        <w:t>(</w:t>
      </w:r>
      <w:proofErr w:type="gramEnd"/>
      <w:r w:rsidRPr="001B7093">
        <w:rPr>
          <w:rFonts w:ascii="Arial" w:eastAsia="Times New Roman" w:hAnsi="Arial" w:cs="Arial"/>
          <w:color w:val="FF0000"/>
          <w:sz w:val="20"/>
          <w:szCs w:val="20"/>
          <w:lang w:eastAsia="pt-BR"/>
        </w:rPr>
        <w:t>a) .................................... (nome e função no detentor data),</w:t>
      </w:r>
      <w:r w:rsidRPr="001B7093">
        <w:rPr>
          <w:rFonts w:ascii="Arial" w:eastAsia="Times New Roman" w:hAnsi="Arial" w:cs="Arial"/>
          <w:color w:val="FF0000"/>
          <w:sz w:val="20"/>
          <w:szCs w:val="20"/>
          <w:highlight w:val="yellow"/>
          <w:lang w:eastAsia="pt-BR"/>
        </w:rPr>
        <w:t xml:space="preserve"> conforme atos constitutivos da empresa OU procuração apresentada nos autos,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1.2.</w:t>
      </w:r>
      <w:r w:rsidRPr="001B7093">
        <w:rPr>
          <w:rFonts w:ascii="Arial" w:eastAsia="Times New Roman" w:hAnsi="Arial" w:cs="Arial"/>
          <w:sz w:val="20"/>
          <w:szCs w:val="20"/>
          <w:lang w:eastAsia="pt-BR"/>
        </w:rPr>
        <w:t xml:space="preserve"> </w:t>
      </w:r>
      <w:r w:rsidRPr="001B7093">
        <w:rPr>
          <w:rFonts w:ascii="Arial" w:eastAsia="Times New Roman" w:hAnsi="Arial" w:cs="Arial"/>
          <w:b/>
          <w:color w:val="FF0000"/>
          <w:sz w:val="20"/>
          <w:szCs w:val="20"/>
          <w:lang w:eastAsia="pt-BR"/>
        </w:rPr>
        <w:t>ÓRGÃO</w:t>
      </w:r>
      <w:r w:rsidRPr="001B7093">
        <w:rPr>
          <w:rFonts w:ascii="Arial" w:eastAsia="Times New Roman" w:hAnsi="Arial" w:cs="Arial"/>
          <w:color w:val="FF0000"/>
          <w:sz w:val="20"/>
          <w:szCs w:val="20"/>
          <w:lang w:eastAsia="pt-BR"/>
        </w:rPr>
        <w:t>/</w:t>
      </w:r>
      <w:r w:rsidRPr="001B7093">
        <w:rPr>
          <w:rFonts w:ascii="Arial" w:eastAsia="Times New Roman" w:hAnsi="Arial" w:cs="Arial"/>
          <w:b/>
          <w:color w:val="FF0000"/>
          <w:sz w:val="20"/>
          <w:szCs w:val="20"/>
          <w:lang w:eastAsia="pt-BR"/>
        </w:rPr>
        <w:t xml:space="preserve">ENTIDADE </w:t>
      </w:r>
      <w:r w:rsidRPr="001B7093">
        <w:rPr>
          <w:rFonts w:ascii="Arial" w:eastAsia="Times New Roman" w:hAnsi="Arial" w:cs="Arial"/>
          <w:b/>
          <w:sz w:val="20"/>
          <w:szCs w:val="20"/>
          <w:lang w:eastAsia="pt-BR"/>
        </w:rPr>
        <w:t xml:space="preserve">GERENCIADOR: </w:t>
      </w:r>
      <w:r w:rsidRPr="001B7093">
        <w:rPr>
          <w:rFonts w:ascii="Arial" w:eastAsia="Times New Roman" w:hAnsi="Arial" w:cs="Arial"/>
          <w:color w:val="FF0000"/>
          <w:sz w:val="20"/>
          <w:szCs w:val="20"/>
          <w:highlight w:val="yellow"/>
          <w:lang w:eastAsia="pt-BR"/>
        </w:rPr>
        <w:t xml:space="preserve">......(nome do </w:t>
      </w:r>
      <w:proofErr w:type="gramStart"/>
      <w:r w:rsidRPr="001B7093">
        <w:rPr>
          <w:rFonts w:ascii="Arial" w:eastAsia="Times New Roman" w:hAnsi="Arial" w:cs="Arial"/>
          <w:color w:val="FF0000"/>
          <w:sz w:val="20"/>
          <w:szCs w:val="20"/>
          <w:highlight w:val="yellow"/>
          <w:lang w:eastAsia="pt-BR"/>
        </w:rPr>
        <w:t>órgão)...</w:t>
      </w:r>
      <w:proofErr w:type="gramEnd"/>
      <w:r w:rsidRPr="001B7093">
        <w:rPr>
          <w:rFonts w:ascii="Arial" w:eastAsia="Times New Roman" w:hAnsi="Arial" w:cs="Arial"/>
          <w:color w:val="FF0000"/>
          <w:sz w:val="20"/>
          <w:szCs w:val="20"/>
          <w:highlight w:val="yellow"/>
          <w:lang w:eastAsia="pt-BR"/>
        </w:rPr>
        <w:t>.</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1.3. ÓRGÃOS E ENTIDADES</w:t>
      </w:r>
      <w:r w:rsidRPr="001B7093">
        <w:rPr>
          <w:rFonts w:ascii="Arial" w:eastAsia="Times New Roman" w:hAnsi="Arial" w:cs="Arial"/>
          <w:sz w:val="20"/>
          <w:szCs w:val="20"/>
          <w:lang w:eastAsia="pt-BR"/>
        </w:rPr>
        <w:t xml:space="preserve"> </w:t>
      </w:r>
      <w:r w:rsidRPr="001B7093">
        <w:rPr>
          <w:rFonts w:ascii="Arial" w:eastAsia="Times New Roman" w:hAnsi="Arial" w:cs="Arial"/>
          <w:b/>
          <w:sz w:val="20"/>
          <w:szCs w:val="20"/>
          <w:lang w:eastAsia="pt-BR"/>
        </w:rPr>
        <w:t>PARTICIPANTES</w:t>
      </w:r>
      <w:r w:rsidRPr="001B7093">
        <w:rPr>
          <w:rFonts w:ascii="Arial" w:eastAsia="Times New Roman" w:hAnsi="Arial" w:cs="Arial"/>
          <w:sz w:val="20"/>
          <w:szCs w:val="20"/>
          <w:lang w:eastAsia="pt-BR"/>
        </w:rPr>
        <w:t xml:space="preserve">: Este instrumento, formalizado pelo órgão/entidade </w:t>
      </w:r>
      <w:proofErr w:type="gramStart"/>
      <w:r w:rsidRPr="001B7093">
        <w:rPr>
          <w:rFonts w:ascii="Arial" w:eastAsia="Times New Roman" w:hAnsi="Arial" w:cs="Arial"/>
          <w:sz w:val="20"/>
          <w:szCs w:val="20"/>
          <w:lang w:eastAsia="pt-BR"/>
        </w:rPr>
        <w:t>gerenciador(</w:t>
      </w:r>
      <w:proofErr w:type="gramEnd"/>
      <w:r w:rsidRPr="001B7093">
        <w:rPr>
          <w:rFonts w:ascii="Arial" w:eastAsia="Times New Roman" w:hAnsi="Arial" w:cs="Arial"/>
          <w:sz w:val="20"/>
          <w:szCs w:val="20"/>
          <w:lang w:eastAsia="pt-BR"/>
        </w:rPr>
        <w:t>a) e o detentor da ata, objetiva atender às demandas dos seguintes órgãos e entidades participantes do registro de preços: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196"/>
        <w:gridCol w:w="2102"/>
        <w:gridCol w:w="2134"/>
      </w:tblGrid>
      <w:tr w:rsidR="001B7093" w:rsidRPr="001B7093" w:rsidTr="007A53B2">
        <w:tc>
          <w:tcPr>
            <w:tcW w:w="2062" w:type="dxa"/>
          </w:tcPr>
          <w:p w:rsidR="001B7093" w:rsidRPr="001B7093" w:rsidRDefault="001B7093" w:rsidP="001B7093">
            <w:pPr>
              <w:widowControl w:val="0"/>
              <w:tabs>
                <w:tab w:val="left" w:pos="22"/>
              </w:tabs>
              <w:autoSpaceDE w:val="0"/>
              <w:autoSpaceDN w:val="0"/>
              <w:adjustRightInd w:val="0"/>
              <w:ind w:right="-30"/>
              <w:jc w:val="center"/>
              <w:rPr>
                <w:rFonts w:ascii="Arial" w:eastAsia="Calibri" w:hAnsi="Arial" w:cs="Arial"/>
                <w:iCs/>
                <w:color w:val="FF0000"/>
                <w:sz w:val="20"/>
                <w:szCs w:val="20"/>
              </w:rPr>
            </w:pPr>
            <w:r w:rsidRPr="001B7093">
              <w:rPr>
                <w:rFonts w:ascii="Arial" w:eastAsia="Calibri" w:hAnsi="Arial" w:cs="Arial"/>
                <w:iCs/>
                <w:color w:val="FF0000"/>
                <w:sz w:val="20"/>
                <w:szCs w:val="20"/>
              </w:rPr>
              <w:t>Item nº</w:t>
            </w:r>
          </w:p>
        </w:tc>
        <w:tc>
          <w:tcPr>
            <w:tcW w:w="2196" w:type="dxa"/>
          </w:tcPr>
          <w:p w:rsidR="001B7093" w:rsidRPr="001B7093" w:rsidRDefault="001B7093" w:rsidP="001B7093">
            <w:pPr>
              <w:widowControl w:val="0"/>
              <w:tabs>
                <w:tab w:val="left" w:pos="22"/>
              </w:tabs>
              <w:autoSpaceDE w:val="0"/>
              <w:autoSpaceDN w:val="0"/>
              <w:adjustRightInd w:val="0"/>
              <w:ind w:right="-30"/>
              <w:jc w:val="center"/>
              <w:rPr>
                <w:rFonts w:ascii="Arial" w:eastAsia="Calibri" w:hAnsi="Arial" w:cs="Arial"/>
                <w:iCs/>
                <w:color w:val="FF0000"/>
                <w:sz w:val="20"/>
                <w:szCs w:val="20"/>
              </w:rPr>
            </w:pPr>
            <w:r w:rsidRPr="001B7093">
              <w:rPr>
                <w:rFonts w:ascii="Arial" w:eastAsia="Calibri" w:hAnsi="Arial" w:cs="Arial"/>
                <w:iCs/>
                <w:color w:val="FF0000"/>
                <w:sz w:val="20"/>
                <w:szCs w:val="20"/>
              </w:rPr>
              <w:t>Órgãos/Entidades Participantes</w:t>
            </w:r>
          </w:p>
        </w:tc>
        <w:tc>
          <w:tcPr>
            <w:tcW w:w="2102" w:type="dxa"/>
          </w:tcPr>
          <w:p w:rsidR="001B7093" w:rsidRPr="001B7093" w:rsidRDefault="001B7093" w:rsidP="001B7093">
            <w:pPr>
              <w:widowControl w:val="0"/>
              <w:tabs>
                <w:tab w:val="left" w:pos="22"/>
              </w:tabs>
              <w:autoSpaceDE w:val="0"/>
              <w:autoSpaceDN w:val="0"/>
              <w:adjustRightInd w:val="0"/>
              <w:ind w:right="-30"/>
              <w:jc w:val="center"/>
              <w:rPr>
                <w:rFonts w:ascii="Arial" w:eastAsia="Calibri" w:hAnsi="Arial" w:cs="Arial"/>
                <w:iCs/>
                <w:color w:val="FF0000"/>
                <w:sz w:val="20"/>
                <w:szCs w:val="20"/>
              </w:rPr>
            </w:pPr>
            <w:r w:rsidRPr="001B7093">
              <w:rPr>
                <w:rFonts w:ascii="Arial" w:eastAsia="Calibri" w:hAnsi="Arial" w:cs="Arial"/>
                <w:iCs/>
                <w:color w:val="FF0000"/>
                <w:sz w:val="20"/>
                <w:szCs w:val="20"/>
              </w:rPr>
              <w:t>Unidade de medida</w:t>
            </w:r>
          </w:p>
        </w:tc>
        <w:tc>
          <w:tcPr>
            <w:tcW w:w="2134" w:type="dxa"/>
          </w:tcPr>
          <w:p w:rsidR="001B7093" w:rsidRPr="001B7093" w:rsidRDefault="001B7093" w:rsidP="001B7093">
            <w:pPr>
              <w:widowControl w:val="0"/>
              <w:tabs>
                <w:tab w:val="left" w:pos="22"/>
              </w:tabs>
              <w:autoSpaceDE w:val="0"/>
              <w:autoSpaceDN w:val="0"/>
              <w:adjustRightInd w:val="0"/>
              <w:ind w:right="-30"/>
              <w:jc w:val="center"/>
              <w:rPr>
                <w:rFonts w:ascii="Arial" w:eastAsia="Calibri" w:hAnsi="Arial" w:cs="Arial"/>
                <w:iCs/>
                <w:color w:val="FF0000"/>
                <w:sz w:val="20"/>
                <w:szCs w:val="20"/>
              </w:rPr>
            </w:pPr>
            <w:r w:rsidRPr="001B7093">
              <w:rPr>
                <w:rFonts w:ascii="Arial" w:eastAsia="Calibri" w:hAnsi="Arial" w:cs="Arial"/>
                <w:iCs/>
                <w:color w:val="FF0000"/>
                <w:sz w:val="20"/>
                <w:szCs w:val="20"/>
              </w:rPr>
              <w:t>Quantidade total</w:t>
            </w:r>
          </w:p>
        </w:tc>
      </w:tr>
      <w:tr w:rsidR="001B7093" w:rsidRPr="001B7093" w:rsidTr="007A53B2">
        <w:tc>
          <w:tcPr>
            <w:tcW w:w="206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96"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0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34"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r>
      <w:tr w:rsidR="001B7093" w:rsidRPr="001B7093" w:rsidTr="007A53B2">
        <w:tc>
          <w:tcPr>
            <w:tcW w:w="206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96"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0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34"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r>
      <w:tr w:rsidR="001B7093" w:rsidRPr="001B7093" w:rsidTr="007A53B2">
        <w:tc>
          <w:tcPr>
            <w:tcW w:w="206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96"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02"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c>
          <w:tcPr>
            <w:tcW w:w="2134" w:type="dxa"/>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p>
        </w:tc>
      </w:tr>
    </w:tbl>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ab/>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1.4.</w:t>
      </w:r>
      <w:r w:rsidRPr="001B7093">
        <w:rPr>
          <w:rFonts w:ascii="Arial" w:eastAsia="Times New Roman" w:hAnsi="Arial" w:cs="Arial"/>
          <w:sz w:val="20"/>
          <w:szCs w:val="20"/>
          <w:lang w:eastAsia="pt-BR"/>
        </w:rPr>
        <w:t xml:space="preserve"> </w:t>
      </w:r>
      <w:r w:rsidRPr="001B7093">
        <w:rPr>
          <w:rFonts w:ascii="Arial" w:eastAsia="Times New Roman" w:hAnsi="Arial" w:cs="Arial"/>
          <w:b/>
          <w:sz w:val="20"/>
          <w:szCs w:val="20"/>
          <w:lang w:eastAsia="pt-BR"/>
        </w:rPr>
        <w:t>ADERENTE DE PREÇO</w:t>
      </w:r>
      <w:r w:rsidRPr="001B7093">
        <w:rPr>
          <w:rFonts w:ascii="Arial" w:eastAsia="Times New Roman" w:hAnsi="Arial" w:cs="Arial"/>
          <w:sz w:val="20"/>
          <w:szCs w:val="20"/>
          <w:lang w:eastAsia="pt-BR"/>
        </w:rPr>
        <w:t xml:space="preserve">: A ata de realização da sessão pública do pregão, contendo a </w:t>
      </w:r>
      <w:bookmarkStart w:id="0" w:name="_GoBack"/>
      <w:r w:rsidRPr="001B7093">
        <w:rPr>
          <w:rFonts w:ascii="Arial" w:eastAsia="Times New Roman" w:hAnsi="Arial" w:cs="Arial"/>
          <w:sz w:val="20"/>
          <w:szCs w:val="20"/>
          <w:lang w:eastAsia="pt-BR"/>
        </w:rPr>
        <w:t xml:space="preserve">relação dos licitantes que aceitarem cotar os bens ou serviços com preços iguais aos do licitante </w:t>
      </w:r>
      <w:bookmarkEnd w:id="0"/>
      <w:r w:rsidRPr="001B7093">
        <w:rPr>
          <w:rFonts w:ascii="Arial" w:eastAsia="Times New Roman" w:hAnsi="Arial" w:cs="Arial"/>
          <w:sz w:val="20"/>
          <w:szCs w:val="20"/>
          <w:lang w:eastAsia="pt-BR"/>
        </w:rPr>
        <w:t>vencedor do certame, compõe anexo a esta Ata de Registro de Preços, nos termos do §1º do art. 16 do Decreto nº 16.122, de 2023.</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spacing w:val="15"/>
          <w:lang w:eastAsia="pt-BR"/>
        </w:rPr>
      </w:pPr>
      <w:r w:rsidRPr="001B7093">
        <w:rPr>
          <w:rFonts w:ascii="Arial" w:eastAsia="Times New Roman" w:hAnsi="Arial" w:cs="Times New Roman"/>
          <w:b/>
          <w:bCs/>
          <w:caps/>
          <w:color w:val="FFFFFF"/>
          <w:spacing w:val="15"/>
          <w:lang w:eastAsia="pt-BR"/>
        </w:rPr>
        <w:t xml:space="preserve">CLÁUSULA segunda – OBJETO </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r w:rsidRPr="001B7093">
        <w:rPr>
          <w:rFonts w:ascii="Arial" w:eastAsia="Times New Roman" w:hAnsi="Arial" w:cs="Arial"/>
          <w:b/>
          <w:bCs/>
          <w:sz w:val="20"/>
          <w:szCs w:val="20"/>
          <w:lang w:eastAsia="pt-BR"/>
        </w:rPr>
        <w:t>2.1.</w:t>
      </w:r>
      <w:r w:rsidRPr="001B7093">
        <w:rPr>
          <w:rFonts w:ascii="Arial" w:eastAsia="Times New Roman" w:hAnsi="Arial" w:cs="Arial"/>
          <w:sz w:val="20"/>
          <w:szCs w:val="20"/>
          <w:lang w:eastAsia="pt-BR"/>
        </w:rPr>
        <w:t xml:space="preserve"> </w:t>
      </w:r>
      <w:r w:rsidRPr="001B7093">
        <w:rPr>
          <w:rFonts w:ascii="Arial" w:eastAsia="Calibri" w:hAnsi="Arial" w:cs="Arial"/>
          <w:color w:val="000000"/>
          <w:sz w:val="20"/>
          <w:szCs w:val="20"/>
        </w:rPr>
        <w:t xml:space="preserve">O preço registrado, as especificações do objeto, a quantidade, e as demais condições ofertadas </w:t>
      </w:r>
      <w:proofErr w:type="gramStart"/>
      <w:r w:rsidRPr="001B7093">
        <w:rPr>
          <w:rFonts w:ascii="Arial" w:eastAsia="Calibri" w:hAnsi="Arial" w:cs="Arial"/>
          <w:color w:val="000000"/>
          <w:sz w:val="20"/>
          <w:szCs w:val="20"/>
        </w:rPr>
        <w:t>na(</w:t>
      </w:r>
      <w:proofErr w:type="gramEnd"/>
      <w:r w:rsidRPr="001B7093">
        <w:rPr>
          <w:rFonts w:ascii="Arial" w:eastAsia="Calibri" w:hAnsi="Arial" w:cs="Arial"/>
          <w:color w:val="000000"/>
          <w:sz w:val="20"/>
          <w:szCs w:val="20"/>
        </w:rPr>
        <w:t>s) proposta(s) são as que seguem:</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tbl>
      <w:tblPr>
        <w:tblW w:w="8077" w:type="dxa"/>
        <w:jc w:val="center"/>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1211"/>
      </w:tblGrid>
      <w:tr w:rsidR="001B7093" w:rsidRPr="001B7093" w:rsidTr="007A53B2">
        <w:trPr>
          <w:trHeight w:val="674"/>
          <w:jc w:val="center"/>
        </w:trPr>
        <w:tc>
          <w:tcPr>
            <w:tcW w:w="497" w:type="dxa"/>
            <w:tcBorders>
              <w:top w:val="single" w:sz="4" w:space="0" w:color="auto"/>
              <w:left w:val="single" w:sz="2" w:space="0" w:color="000000"/>
              <w:bottom w:val="single" w:sz="2" w:space="0" w:color="000000"/>
              <w:right w:val="nil"/>
            </w:tcBorders>
            <w:vAlign w:val="center"/>
          </w:tcPr>
          <w:p w:rsidR="001B7093" w:rsidRPr="001B7093" w:rsidRDefault="001B7093" w:rsidP="001B7093">
            <w:pPr>
              <w:widowControl w:val="0"/>
              <w:autoSpaceDE w:val="0"/>
              <w:autoSpaceDN w:val="0"/>
              <w:adjustRightInd w:val="0"/>
              <w:ind w:right="-30"/>
              <w:jc w:val="center"/>
              <w:rPr>
                <w:rFonts w:ascii="Arial" w:eastAsia="Calibri" w:hAnsi="Arial" w:cs="Arial"/>
                <w:color w:val="FF0000"/>
                <w:sz w:val="20"/>
                <w:szCs w:val="20"/>
              </w:rPr>
            </w:pPr>
            <w:r w:rsidRPr="001B7093">
              <w:rPr>
                <w:rFonts w:ascii="Arial" w:eastAsia="Calibri" w:hAnsi="Arial" w:cs="Arial"/>
                <w:color w:val="FF0000"/>
                <w:sz w:val="20"/>
                <w:szCs w:val="20"/>
              </w:rPr>
              <w:t>Item X</w:t>
            </w:r>
          </w:p>
        </w:tc>
        <w:tc>
          <w:tcPr>
            <w:tcW w:w="1333" w:type="dxa"/>
            <w:tcBorders>
              <w:top w:val="single" w:sz="4" w:space="0" w:color="auto"/>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r w:rsidRPr="001B7093">
              <w:rPr>
                <w:rFonts w:ascii="Arial" w:eastAsia="Calibri" w:hAnsi="Arial" w:cs="Arial"/>
                <w:color w:val="FF0000"/>
                <w:sz w:val="20"/>
                <w:szCs w:val="20"/>
              </w:rPr>
              <w:t>Especificação</w:t>
            </w:r>
          </w:p>
        </w:tc>
        <w:tc>
          <w:tcPr>
            <w:tcW w:w="1253" w:type="dxa"/>
            <w:tcBorders>
              <w:top w:val="single" w:sz="4" w:space="0" w:color="auto"/>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r w:rsidRPr="001B7093">
              <w:rPr>
                <w:rFonts w:ascii="Arial" w:eastAsia="Calibri" w:hAnsi="Arial" w:cs="Arial"/>
                <w:i/>
                <w:iCs/>
                <w:color w:val="FF0000"/>
                <w:sz w:val="20"/>
                <w:szCs w:val="20"/>
              </w:rPr>
              <w:t xml:space="preserve">Marca </w:t>
            </w:r>
          </w:p>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r w:rsidRPr="001B7093">
              <w:rPr>
                <w:rFonts w:ascii="Arial" w:eastAsia="Calibri" w:hAnsi="Arial" w:cs="Arial"/>
                <w:i/>
                <w:iCs/>
                <w:color w:val="FF0000"/>
                <w:sz w:val="20"/>
                <w:szCs w:val="20"/>
              </w:rPr>
              <w:t xml:space="preserve">(se exigida no </w:t>
            </w:r>
            <w:r w:rsidRPr="001B7093">
              <w:rPr>
                <w:rFonts w:ascii="Arial" w:eastAsia="Calibri" w:hAnsi="Arial" w:cs="Arial"/>
                <w:i/>
                <w:iCs/>
                <w:color w:val="FF0000"/>
                <w:sz w:val="20"/>
                <w:szCs w:val="20"/>
              </w:rPr>
              <w:lastRenderedPageBreak/>
              <w:t>edital)</w:t>
            </w:r>
          </w:p>
        </w:tc>
        <w:tc>
          <w:tcPr>
            <w:tcW w:w="1541" w:type="dxa"/>
            <w:tcBorders>
              <w:top w:val="single" w:sz="4" w:space="0" w:color="auto"/>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r w:rsidRPr="001B7093">
              <w:rPr>
                <w:rFonts w:ascii="Arial" w:eastAsia="Calibri" w:hAnsi="Arial" w:cs="Arial"/>
                <w:i/>
                <w:iCs/>
                <w:color w:val="FF0000"/>
                <w:sz w:val="20"/>
                <w:szCs w:val="20"/>
              </w:rPr>
              <w:lastRenderedPageBreak/>
              <w:t>Modelo</w:t>
            </w:r>
          </w:p>
          <w:p w:rsidR="001B7093" w:rsidRPr="001B7093" w:rsidRDefault="001B7093" w:rsidP="001B7093">
            <w:pPr>
              <w:widowControl w:val="0"/>
              <w:autoSpaceDE w:val="0"/>
              <w:autoSpaceDN w:val="0"/>
              <w:adjustRightInd w:val="0"/>
              <w:ind w:right="-30"/>
              <w:jc w:val="center"/>
              <w:rPr>
                <w:rFonts w:ascii="Arial" w:eastAsia="Calibri" w:hAnsi="Arial" w:cs="Arial"/>
                <w:i/>
                <w:iCs/>
                <w:color w:val="FF0000"/>
                <w:sz w:val="20"/>
                <w:szCs w:val="20"/>
              </w:rPr>
            </w:pPr>
            <w:r w:rsidRPr="001B7093">
              <w:rPr>
                <w:rFonts w:ascii="Arial" w:eastAsia="Calibri" w:hAnsi="Arial" w:cs="Arial"/>
                <w:i/>
                <w:iCs/>
                <w:color w:val="FF0000"/>
                <w:sz w:val="20"/>
                <w:szCs w:val="20"/>
              </w:rPr>
              <w:t xml:space="preserve">(se exigido no </w:t>
            </w:r>
            <w:r w:rsidRPr="001B7093">
              <w:rPr>
                <w:rFonts w:ascii="Arial" w:eastAsia="Calibri" w:hAnsi="Arial" w:cs="Arial"/>
                <w:i/>
                <w:iCs/>
                <w:color w:val="FF0000"/>
                <w:sz w:val="20"/>
                <w:szCs w:val="20"/>
              </w:rPr>
              <w:lastRenderedPageBreak/>
              <w:t>edital)</w:t>
            </w:r>
          </w:p>
        </w:tc>
        <w:tc>
          <w:tcPr>
            <w:tcW w:w="1121" w:type="dxa"/>
            <w:tcBorders>
              <w:top w:val="single" w:sz="4" w:space="0" w:color="auto"/>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center"/>
              <w:rPr>
                <w:rFonts w:ascii="Arial" w:eastAsia="Calibri" w:hAnsi="Arial" w:cs="Arial"/>
                <w:color w:val="FF0000"/>
                <w:sz w:val="20"/>
                <w:szCs w:val="20"/>
              </w:rPr>
            </w:pPr>
            <w:r w:rsidRPr="001B7093">
              <w:rPr>
                <w:rFonts w:ascii="Arial" w:eastAsia="Calibri" w:hAnsi="Arial" w:cs="Arial"/>
                <w:color w:val="FF0000"/>
                <w:sz w:val="20"/>
                <w:szCs w:val="20"/>
              </w:rPr>
              <w:lastRenderedPageBreak/>
              <w:t>Unidade de medida</w:t>
            </w:r>
          </w:p>
        </w:tc>
        <w:tc>
          <w:tcPr>
            <w:tcW w:w="1121" w:type="dxa"/>
            <w:tcBorders>
              <w:top w:val="single" w:sz="4" w:space="0" w:color="auto"/>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center"/>
              <w:rPr>
                <w:rFonts w:ascii="Arial" w:eastAsia="Calibri" w:hAnsi="Arial" w:cs="Arial"/>
                <w:color w:val="FF0000"/>
                <w:sz w:val="20"/>
                <w:szCs w:val="20"/>
              </w:rPr>
            </w:pPr>
            <w:r w:rsidRPr="001B7093">
              <w:rPr>
                <w:rFonts w:ascii="Arial" w:eastAsia="Calibri" w:hAnsi="Arial" w:cs="Arial"/>
                <w:color w:val="FF0000"/>
                <w:sz w:val="20"/>
                <w:szCs w:val="20"/>
              </w:rPr>
              <w:t>Quantidade</w:t>
            </w:r>
          </w:p>
        </w:tc>
        <w:tc>
          <w:tcPr>
            <w:tcW w:w="1211" w:type="dxa"/>
            <w:tcBorders>
              <w:top w:val="single" w:sz="4" w:space="0" w:color="auto"/>
              <w:left w:val="single" w:sz="2" w:space="0" w:color="000000"/>
              <w:bottom w:val="single" w:sz="2" w:space="0" w:color="000000"/>
              <w:right w:val="single" w:sz="4" w:space="0" w:color="auto"/>
            </w:tcBorders>
          </w:tcPr>
          <w:p w:rsidR="001B7093" w:rsidRPr="001B7093" w:rsidRDefault="001B7093" w:rsidP="001B7093">
            <w:pPr>
              <w:widowControl w:val="0"/>
              <w:autoSpaceDE w:val="0"/>
              <w:autoSpaceDN w:val="0"/>
              <w:adjustRightInd w:val="0"/>
              <w:ind w:right="-30"/>
              <w:jc w:val="center"/>
              <w:rPr>
                <w:rFonts w:ascii="Arial" w:eastAsia="Calibri" w:hAnsi="Arial" w:cs="Arial"/>
                <w:color w:val="FF0000"/>
                <w:sz w:val="20"/>
                <w:szCs w:val="20"/>
              </w:rPr>
            </w:pPr>
            <w:r w:rsidRPr="001B7093">
              <w:rPr>
                <w:rFonts w:ascii="Arial" w:eastAsia="Calibri" w:hAnsi="Arial" w:cs="Arial"/>
                <w:color w:val="FF0000"/>
                <w:sz w:val="20"/>
                <w:szCs w:val="20"/>
              </w:rPr>
              <w:t xml:space="preserve">Valor </w:t>
            </w:r>
            <w:proofErr w:type="spellStart"/>
            <w:r w:rsidRPr="001B7093">
              <w:rPr>
                <w:rFonts w:ascii="Arial" w:eastAsia="Calibri" w:hAnsi="Arial" w:cs="Arial"/>
                <w:color w:val="FF0000"/>
                <w:sz w:val="20"/>
                <w:szCs w:val="20"/>
              </w:rPr>
              <w:t>Un</w:t>
            </w:r>
            <w:proofErr w:type="spellEnd"/>
          </w:p>
        </w:tc>
      </w:tr>
      <w:tr w:rsidR="001B7093" w:rsidRPr="001B7093" w:rsidTr="007A53B2">
        <w:trPr>
          <w:trHeight w:val="174"/>
          <w:jc w:val="center"/>
        </w:trPr>
        <w:tc>
          <w:tcPr>
            <w:tcW w:w="497"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333"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253"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541"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121"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121" w:type="dxa"/>
            <w:tcBorders>
              <w:top w:val="nil"/>
              <w:left w:val="single" w:sz="2" w:space="0" w:color="000000"/>
              <w:bottom w:val="single" w:sz="2" w:space="0" w:color="000000"/>
              <w:right w:val="nil"/>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c>
          <w:tcPr>
            <w:tcW w:w="1211" w:type="dxa"/>
            <w:tcBorders>
              <w:top w:val="single" w:sz="2" w:space="0" w:color="000000"/>
              <w:left w:val="single" w:sz="2" w:space="0" w:color="000000"/>
              <w:bottom w:val="single" w:sz="2" w:space="0" w:color="000000"/>
              <w:right w:val="single" w:sz="4" w:space="0" w:color="auto"/>
            </w:tcBorders>
          </w:tcPr>
          <w:p w:rsidR="001B7093" w:rsidRPr="001B7093" w:rsidRDefault="001B7093" w:rsidP="001B7093">
            <w:pPr>
              <w:widowControl w:val="0"/>
              <w:autoSpaceDE w:val="0"/>
              <w:autoSpaceDN w:val="0"/>
              <w:adjustRightInd w:val="0"/>
              <w:ind w:right="-30"/>
              <w:jc w:val="both"/>
              <w:rPr>
                <w:rFonts w:ascii="Arial" w:eastAsia="Calibri" w:hAnsi="Arial" w:cs="Arial"/>
                <w:color w:val="FF0000"/>
                <w:sz w:val="20"/>
                <w:szCs w:val="20"/>
              </w:rPr>
            </w:pPr>
          </w:p>
        </w:tc>
      </w:tr>
    </w:tbl>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1B7093">
        <w:rPr>
          <w:rFonts w:ascii="Arial" w:eastAsia="Calibri" w:hAnsi="Arial" w:cs="Arial"/>
          <w:b/>
          <w:sz w:val="20"/>
          <w:szCs w:val="20"/>
        </w:rPr>
        <w:t>Orientações práticas: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De acordo com o art. 16 do Decreto nº 16.122, de 2023, a Ata de Registro de Preço deverá conter, dentre outros conteúdos, a descrição sucinta do item de material ou de serviço (incluindo informações sobre marca e modelo, se houver), o preço registrado e as quantidades a serem fornecidas pelo detentor da ARP.</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Assim, sugere-se que esses elementos sejam especificados por meio de uma tabela contendo essas informações </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Preço registrado</w:t>
      </w:r>
      <w:r w:rsidRPr="001B7093">
        <w:rPr>
          <w:rFonts w:ascii="Arial" w:eastAsia="Times New Roman" w:hAnsi="Arial" w:cs="Arial"/>
          <w:sz w:val="20"/>
          <w:szCs w:val="20"/>
          <w:lang w:eastAsia="pt-BR"/>
        </w:rPr>
        <w:t>: O e</w:t>
      </w:r>
      <w:r w:rsidRPr="001B7093">
        <w:rPr>
          <w:rFonts w:ascii="Arial" w:eastAsia="Calibri" w:hAnsi="Arial" w:cs="Arial"/>
          <w:color w:val="000000"/>
          <w:sz w:val="20"/>
          <w:szCs w:val="20"/>
        </w:rPr>
        <w:t xml:space="preserve">dital de licitação para registro de preços </w:t>
      </w:r>
      <w:r w:rsidRPr="001B7093">
        <w:rPr>
          <w:rFonts w:ascii="Arial" w:eastAsia="Times New Roman" w:hAnsi="Arial" w:cs="Arial"/>
          <w:sz w:val="20"/>
          <w:szCs w:val="20"/>
          <w:lang w:eastAsia="pt-BR"/>
        </w:rPr>
        <w:t>poderá possibilitar a apresentação de preços diferentes na hipótese descrita no inciso III do art. 82, da Lei nº 14.133/2021. São elas: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i/>
          <w:sz w:val="20"/>
          <w:szCs w:val="20"/>
          <w:lang w:eastAsia="pt-BR"/>
        </w:rPr>
      </w:pPr>
      <w:r w:rsidRPr="001B7093">
        <w:rPr>
          <w:rFonts w:ascii="Arial" w:eastAsia="Times New Roman" w:hAnsi="Arial" w:cs="Arial"/>
          <w:i/>
          <w:sz w:val="20"/>
          <w:szCs w:val="20"/>
          <w:lang w:eastAsia="pt-BR"/>
        </w:rPr>
        <w:t>a) quando o objeto for realizado ou entregue em locais diferentes;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i/>
          <w:sz w:val="20"/>
          <w:szCs w:val="20"/>
          <w:lang w:eastAsia="pt-BR"/>
        </w:rPr>
      </w:pPr>
      <w:r w:rsidRPr="001B7093">
        <w:rPr>
          <w:rFonts w:ascii="Arial" w:eastAsia="Times New Roman" w:hAnsi="Arial" w:cs="Arial"/>
          <w:i/>
          <w:sz w:val="20"/>
          <w:szCs w:val="20"/>
          <w:lang w:eastAsia="pt-BR"/>
        </w:rPr>
        <w:t>b) em razão da forma e do local de acondicionamento;</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i/>
          <w:sz w:val="20"/>
          <w:szCs w:val="20"/>
          <w:lang w:eastAsia="pt-BR"/>
        </w:rPr>
      </w:pPr>
      <w:r w:rsidRPr="001B7093">
        <w:rPr>
          <w:rFonts w:ascii="Arial" w:eastAsia="Times New Roman" w:hAnsi="Arial" w:cs="Arial"/>
          <w:i/>
          <w:sz w:val="20"/>
          <w:szCs w:val="20"/>
          <w:lang w:eastAsia="pt-BR"/>
        </w:rPr>
        <w:t>c) quando admitida cotação variável em razão do tamanho do lote;</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i/>
          <w:sz w:val="20"/>
          <w:szCs w:val="20"/>
          <w:lang w:eastAsia="pt-BR"/>
        </w:rPr>
      </w:pPr>
      <w:r w:rsidRPr="001B7093">
        <w:rPr>
          <w:rFonts w:ascii="Arial" w:eastAsia="Times New Roman" w:hAnsi="Arial" w:cs="Arial"/>
          <w:i/>
          <w:sz w:val="20"/>
          <w:szCs w:val="20"/>
          <w:lang w:eastAsia="pt-BR"/>
        </w:rPr>
        <w:t>d) por outros motivos justificados no processo;</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Caso o edital tenha permitida essa possibilidade, a Ata de Registro de Preço deverá conter a descrição diferenciada de cada um dos preços registrados.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Times New Roman" w:hAnsi="Arial" w:cs="Arial"/>
          <w:b/>
          <w:sz w:val="20"/>
          <w:szCs w:val="20"/>
          <w:lang w:eastAsia="pt-BR"/>
        </w:rPr>
        <w:t>Quantitativo parcial</w:t>
      </w:r>
      <w:r w:rsidRPr="001B7093">
        <w:rPr>
          <w:rFonts w:ascii="Arial" w:eastAsia="Times New Roman" w:hAnsi="Arial" w:cs="Arial"/>
          <w:sz w:val="20"/>
          <w:szCs w:val="20"/>
          <w:lang w:eastAsia="pt-BR"/>
        </w:rPr>
        <w:t>: O inciso IV do art. 82, da Lei nº 14.133/2021, permite que o edital disponha sobre a possibilidade de o licitante oferecer proposta em quantitativo inferior ao máximo previsto no edital. Em sendo essa a hipótese, a ata de registro de preço deverá prever o quantitativo a que o licitante se vinculou,</w:t>
      </w:r>
      <w:r w:rsidRPr="001B7093">
        <w:rPr>
          <w:rFonts w:ascii="Arial" w:eastAsia="Calibri" w:hAnsi="Arial" w:cs="Arial"/>
          <w:color w:val="000000"/>
          <w:sz w:val="20"/>
          <w:szCs w:val="20"/>
        </w:rPr>
        <w:t xml:space="preserve"> obrigando-se nos limites dele.</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Calibri" w:hAnsi="Arial" w:cs="Arial"/>
          <w:b/>
          <w:color w:val="000000"/>
          <w:sz w:val="20"/>
          <w:szCs w:val="20"/>
        </w:rPr>
        <w:t>Indicação restrita a unidades de contratação</w:t>
      </w:r>
      <w:r w:rsidRPr="001B7093">
        <w:rPr>
          <w:rFonts w:ascii="Arial" w:eastAsia="Calibri" w:hAnsi="Arial" w:cs="Arial"/>
          <w:color w:val="000000"/>
          <w:sz w:val="20"/>
          <w:szCs w:val="20"/>
        </w:rPr>
        <w:t xml:space="preserve">: Em algumas situações previstas em lei (§3º do art. 82, da Lei nº 14.133/2021) é possível apenas a fixação de unidades de contratação, sem a indicação do total que se pretende adquirir. Nesses casos, no entanto, deve-se atentar que é obrigatória a indicação do valor máximo da despesa e é vedada a participação de outro órgão ou entidade na ata (§4º). </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Calibri" w:hAnsi="Arial" w:cs="Arial"/>
          <w:color w:val="000000"/>
          <w:sz w:val="20"/>
          <w:szCs w:val="20"/>
        </w:rPr>
        <w:t>Na hipótese de a equipe de planejamento ter identificado uma das referidas situações autorizadoras no Termo de Referência, recomenda-se incluir o subitem 2.1.1 (abaixo descrito) alertando essa informação ao detentor da ata.</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2.1.1</w:t>
      </w:r>
      <w:r w:rsidRPr="001B7093">
        <w:rPr>
          <w:rFonts w:ascii="Arial" w:eastAsia="Times New Roman" w:hAnsi="Arial" w:cs="Arial"/>
          <w:color w:val="FF0000"/>
          <w:sz w:val="20"/>
          <w:szCs w:val="20"/>
          <w:lang w:eastAsia="pt-BR"/>
        </w:rPr>
        <w:t xml:space="preserve">. O registro de que trata o subitem 2.1 é composto pela unidade de contratação, sem a indicação do total a ser eventualmente adquirido, conforme autoriza o inciso </w:t>
      </w:r>
      <w:r w:rsidRPr="001B7093">
        <w:rPr>
          <w:rFonts w:ascii="Arial" w:eastAsia="Times New Roman" w:hAnsi="Arial" w:cs="Arial"/>
          <w:color w:val="FF0000"/>
          <w:sz w:val="20"/>
          <w:szCs w:val="20"/>
          <w:highlight w:val="yellow"/>
          <w:lang w:eastAsia="pt-BR"/>
        </w:rPr>
        <w:t>(...)</w:t>
      </w:r>
      <w:r w:rsidRPr="001B7093">
        <w:rPr>
          <w:rFonts w:ascii="Arial" w:eastAsia="Times New Roman" w:hAnsi="Arial" w:cs="Arial"/>
          <w:color w:val="FF0000"/>
          <w:sz w:val="20"/>
          <w:szCs w:val="20"/>
          <w:lang w:eastAsia="pt-BR"/>
        </w:rPr>
        <w:t xml:space="preserve"> do §3º do art. 82 da Lei Federal nº 14.133/2021.</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2.1.1.1</w:t>
      </w:r>
      <w:r w:rsidRPr="001B7093">
        <w:rPr>
          <w:rFonts w:ascii="Arial" w:eastAsia="Times New Roman" w:hAnsi="Arial" w:cs="Arial"/>
          <w:color w:val="FF0000"/>
          <w:sz w:val="20"/>
          <w:szCs w:val="20"/>
          <w:lang w:eastAsia="pt-BR"/>
        </w:rPr>
        <w:t>.  Nas contratações decorrentes desta ata de registro de preço, o quantitativo a ser eventualmente adquirido ficará limitado ao valor máximo da despesa fixado no Termo de Referência.</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bCs/>
          <w:sz w:val="20"/>
          <w:szCs w:val="20"/>
          <w:lang w:eastAsia="pt-BR"/>
        </w:rPr>
        <w:t>2.2.</w:t>
      </w:r>
      <w:r w:rsidRPr="001B7093">
        <w:rPr>
          <w:rFonts w:ascii="Arial" w:eastAsia="Times New Roman" w:hAnsi="Arial" w:cs="Arial"/>
          <w:sz w:val="20"/>
          <w:szCs w:val="20"/>
          <w:lang w:eastAsia="pt-BR"/>
        </w:rPr>
        <w:t xml:space="preserve"> O presente instrumento caracteriza-se como um </w:t>
      </w:r>
      <w:r w:rsidRPr="001B7093">
        <w:rPr>
          <w:rFonts w:ascii="Arial" w:eastAsia="Calibri" w:hAnsi="Arial" w:cs="Arial"/>
          <w:color w:val="000000"/>
          <w:sz w:val="20"/>
          <w:szCs w:val="20"/>
        </w:rPr>
        <w:t xml:space="preserve">documento vinculativo e obrigacional, com característica de </w:t>
      </w:r>
      <w:r w:rsidRPr="001B7093">
        <w:rPr>
          <w:rFonts w:ascii="Arial" w:eastAsia="Calibri" w:hAnsi="Arial" w:cs="Arial"/>
          <w:b/>
          <w:bCs/>
          <w:color w:val="000000"/>
          <w:sz w:val="20"/>
          <w:szCs w:val="20"/>
          <w:u w:val="single"/>
        </w:rPr>
        <w:t>compromisso para futura contratação</w:t>
      </w:r>
      <w:r w:rsidRPr="001B7093">
        <w:rPr>
          <w:rFonts w:ascii="Arial" w:eastAsia="Calibri" w:hAnsi="Arial" w:cs="Arial"/>
          <w:color w:val="000000"/>
          <w:sz w:val="20"/>
          <w:szCs w:val="20"/>
        </w:rPr>
        <w:t xml:space="preserve"> dos itens indicados no subitem 2.1</w:t>
      </w:r>
      <w:r w:rsidRPr="001B7093">
        <w:rPr>
          <w:rFonts w:ascii="Arial" w:eastAsia="Times New Roman" w:hAnsi="Arial" w:cs="Arial"/>
          <w:color w:val="000000"/>
          <w:sz w:val="20"/>
          <w:szCs w:val="20"/>
          <w:lang w:eastAsia="pt-BR"/>
        </w:rPr>
        <w:t xml:space="preserve">, </w:t>
      </w:r>
      <w:r w:rsidRPr="001B7093">
        <w:rPr>
          <w:rFonts w:ascii="Arial" w:eastAsia="Times New Roman" w:hAnsi="Arial" w:cs="Arial"/>
          <w:sz w:val="20"/>
          <w:szCs w:val="20"/>
          <w:lang w:eastAsia="pt-BR"/>
        </w:rPr>
        <w:t xml:space="preserve">nas condições definidas no ato convocatório, seus anexos, propostas de preços e ata do Pregão Eletrônico nº </w:t>
      </w:r>
      <w:r w:rsidRPr="001B7093">
        <w:rPr>
          <w:rFonts w:ascii="Arial" w:eastAsia="Times New Roman" w:hAnsi="Arial" w:cs="Arial"/>
          <w:b/>
          <w:bCs/>
          <w:color w:val="FF0000"/>
          <w:sz w:val="20"/>
          <w:szCs w:val="20"/>
          <w:highlight w:val="yellow"/>
          <w:lang w:eastAsia="pt-BR"/>
        </w:rPr>
        <w:t>....../</w:t>
      </w:r>
      <w:proofErr w:type="gramStart"/>
      <w:r w:rsidRPr="001B7093">
        <w:rPr>
          <w:rFonts w:ascii="Arial" w:eastAsia="Times New Roman" w:hAnsi="Arial" w:cs="Arial"/>
          <w:b/>
          <w:bCs/>
          <w:color w:val="FF0000"/>
          <w:sz w:val="20"/>
          <w:szCs w:val="20"/>
          <w:highlight w:val="yellow"/>
          <w:lang w:eastAsia="pt-BR"/>
        </w:rPr>
        <w:t>20....</w:t>
      </w:r>
      <w:proofErr w:type="gramEnd"/>
      <w:r w:rsidRPr="001B7093">
        <w:rPr>
          <w:rFonts w:ascii="Arial" w:eastAsia="Times New Roman" w:hAnsi="Arial" w:cs="Arial"/>
          <w:b/>
          <w:bCs/>
          <w:color w:val="FF0000"/>
          <w:sz w:val="20"/>
          <w:szCs w:val="20"/>
          <w:highlight w:val="yellow"/>
          <w:lang w:eastAsia="pt-BR"/>
        </w:rPr>
        <w:t>.</w:t>
      </w:r>
      <w:r w:rsidRPr="001B7093">
        <w:rPr>
          <w:rFonts w:ascii="Arial" w:eastAsia="Times New Roman" w:hAnsi="Arial" w:cs="Arial"/>
          <w:sz w:val="20"/>
          <w:szCs w:val="20"/>
          <w:lang w:eastAsia="pt-BR"/>
        </w:rPr>
        <w:t>, que integram este instrumento independente de transcrição, pelo prazo de validade do registro.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r w:rsidRPr="001B7093">
        <w:rPr>
          <w:rFonts w:ascii="Arial" w:eastAsia="Times New Roman" w:hAnsi="Arial" w:cs="Arial"/>
          <w:b/>
          <w:bCs/>
          <w:sz w:val="20"/>
          <w:szCs w:val="20"/>
          <w:lang w:eastAsia="pt-BR"/>
        </w:rPr>
        <w:t>2.3.</w:t>
      </w:r>
      <w:r w:rsidRPr="001B7093">
        <w:rPr>
          <w:rFonts w:ascii="Arial" w:eastAsia="Times New Roman" w:hAnsi="Arial" w:cs="Arial"/>
          <w:sz w:val="20"/>
          <w:szCs w:val="20"/>
          <w:lang w:eastAsia="pt-BR"/>
        </w:rPr>
        <w:t xml:space="preserve"> </w:t>
      </w:r>
      <w:r w:rsidRPr="001B7093">
        <w:rPr>
          <w:rFonts w:ascii="Arial" w:eastAsia="Calibri" w:hAnsi="Arial" w:cs="Arial"/>
          <w:color w:val="000000"/>
          <w:sz w:val="20"/>
          <w:szCs w:val="20"/>
        </w:rPr>
        <w:t>A existência de preços registrados implicará compromisso de fornecimento nas condições estabelecidas, mas não obrigará os órgãos e entidades participantes a contratar, facultada a realização de licitação específica para a aquisição pretendida, desde que devidamente motivada.</w:t>
      </w: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r w:rsidRPr="001B7093">
        <w:rPr>
          <w:rFonts w:ascii="Arial" w:eastAsia="Calibri" w:hAnsi="Arial" w:cs="Arial"/>
          <w:b/>
          <w:color w:val="000000"/>
          <w:sz w:val="20"/>
          <w:szCs w:val="20"/>
        </w:rPr>
        <w:t>2.4.</w:t>
      </w:r>
      <w:r w:rsidRPr="001B7093">
        <w:rPr>
          <w:rFonts w:ascii="Arial" w:eastAsia="Calibri" w:hAnsi="Arial" w:cs="Arial"/>
          <w:color w:val="000000"/>
          <w:sz w:val="20"/>
          <w:szCs w:val="20"/>
        </w:rPr>
        <w:t xml:space="preserve"> </w:t>
      </w:r>
      <w:r w:rsidRPr="001B7093">
        <w:rPr>
          <w:rFonts w:ascii="Arial" w:eastAsia="Calibri" w:hAnsi="Arial" w:cs="Arial"/>
          <w:iCs/>
          <w:sz w:val="20"/>
          <w:szCs w:val="20"/>
        </w:rPr>
        <w:t>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p>
    <w:p w:rsidR="001B7093" w:rsidRPr="001B7093" w:rsidRDefault="001B7093" w:rsidP="001B7093">
      <w:pPr>
        <w:numPr>
          <w:ilvl w:val="1"/>
          <w:numId w:val="0"/>
        </w:numPr>
        <w:spacing w:after="0" w:line="276" w:lineRule="auto"/>
        <w:jc w:val="both"/>
        <w:rPr>
          <w:rFonts w:ascii="Arial" w:eastAsia="Times New Roman" w:hAnsi="Arial" w:cs="Arial"/>
          <w:color w:val="000000"/>
          <w:sz w:val="20"/>
          <w:szCs w:val="20"/>
          <w:lang w:eastAsia="pt-BR"/>
        </w:rPr>
      </w:pPr>
      <w:r w:rsidRPr="001B7093">
        <w:rPr>
          <w:rFonts w:ascii="Arial" w:eastAsia="Times New Roman" w:hAnsi="Arial" w:cs="Arial"/>
          <w:b/>
          <w:bCs/>
          <w:color w:val="000000"/>
          <w:sz w:val="20"/>
          <w:szCs w:val="20"/>
          <w:lang w:eastAsia="pt-BR"/>
        </w:rPr>
        <w:t>2.5.</w:t>
      </w:r>
      <w:r w:rsidRPr="001B7093">
        <w:rPr>
          <w:rFonts w:ascii="Arial" w:eastAsia="Times New Roman" w:hAnsi="Arial" w:cs="Arial"/>
          <w:color w:val="000000"/>
          <w:sz w:val="20"/>
          <w:szCs w:val="20"/>
          <w:lang w:eastAsia="pt-BR"/>
        </w:rPr>
        <w:t xml:space="preserve"> A presente Ata de Registro de preço será regida pela Lei Federal nº 14.133, de 1º de abril de 2021, e pelo Decreto nº 16.122, de 2023.</w:t>
      </w:r>
    </w:p>
    <w:p w:rsidR="001B7093" w:rsidRPr="001B7093" w:rsidRDefault="001B7093" w:rsidP="001B7093">
      <w:pPr>
        <w:widowControl w:val="0"/>
        <w:autoSpaceDE w:val="0"/>
        <w:autoSpaceDN w:val="0"/>
        <w:adjustRightInd w:val="0"/>
        <w:spacing w:after="0" w:line="240" w:lineRule="auto"/>
        <w:jc w:val="both"/>
        <w:rPr>
          <w:rFonts w:ascii="Arial" w:eastAsia="Calibri" w:hAnsi="Arial" w:cs="Arial"/>
          <w:color w:val="000000"/>
          <w:sz w:val="20"/>
          <w:szCs w:val="20"/>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caps/>
          <w:color w:val="FFFFFF"/>
          <w:spacing w:val="15"/>
          <w:lang w:eastAsia="pt-BR"/>
        </w:rPr>
      </w:pPr>
      <w:r w:rsidRPr="001B7093">
        <w:rPr>
          <w:rFonts w:ascii="Arial" w:eastAsia="Times New Roman" w:hAnsi="Arial" w:cs="Times New Roman"/>
          <w:b/>
          <w:bCs/>
          <w:caps/>
          <w:color w:val="FFFFFF"/>
          <w:spacing w:val="15"/>
          <w:lang w:eastAsia="pt-BR"/>
        </w:rPr>
        <w:t>CLÁUSULA Terceira – vigência e prorrogação</w:t>
      </w:r>
    </w:p>
    <w:p w:rsidR="001B7093" w:rsidRPr="001B7093" w:rsidRDefault="001B7093" w:rsidP="001B7093">
      <w:pPr>
        <w:widowControl w:val="0"/>
        <w:spacing w:after="0" w:line="240" w:lineRule="auto"/>
        <w:jc w:val="both"/>
        <w:rPr>
          <w:rFonts w:ascii="Arial" w:eastAsia="Times New Roman" w:hAnsi="Arial" w:cs="Arial"/>
          <w:b/>
          <w:bCs/>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bCs/>
          <w:sz w:val="20"/>
          <w:szCs w:val="20"/>
          <w:lang w:eastAsia="pt-BR"/>
        </w:rPr>
        <w:t>3.1.</w:t>
      </w:r>
      <w:r w:rsidRPr="001B7093">
        <w:rPr>
          <w:rFonts w:ascii="Arial" w:eastAsia="Times New Roman" w:hAnsi="Arial" w:cs="Arial"/>
          <w:sz w:val="20"/>
          <w:szCs w:val="20"/>
          <w:lang w:eastAsia="pt-BR"/>
        </w:rPr>
        <w:t xml:space="preserve"> O prazo de vigência da ata de registro de preços será de 1 (um) ano, contados da data de publicação de seu extrato no Diário Oficial do Estado de Mato Grosso do Sul, e poderá ser prorrogado, por igual período, desde que comprovado o preço vantajoso.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bCs/>
          <w:sz w:val="20"/>
          <w:szCs w:val="20"/>
          <w:lang w:eastAsia="pt-BR"/>
        </w:rPr>
        <w:t>3.1.1.</w:t>
      </w:r>
      <w:r w:rsidRPr="001B7093">
        <w:rPr>
          <w:rFonts w:ascii="Arial" w:eastAsia="Times New Roman" w:hAnsi="Arial" w:cs="Arial"/>
          <w:sz w:val="20"/>
          <w:szCs w:val="20"/>
          <w:lang w:eastAsia="pt-BR"/>
        </w:rPr>
        <w:t xml:space="preserve"> A prorrogação deverá estar acompanhada com a comprovação da vantagem do preço registrado, na forma do Decreto nº 15.940, de 26 de maio de 2022, permitida a negociação com o detentor da ata desde que observada a Cláusula Quarta deste instrumento.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bCs/>
          <w:sz w:val="20"/>
          <w:szCs w:val="20"/>
          <w:lang w:eastAsia="pt-BR"/>
        </w:rPr>
        <w:t>3.1.2.</w:t>
      </w:r>
      <w:r w:rsidRPr="001B7093">
        <w:rPr>
          <w:rFonts w:ascii="Arial" w:eastAsia="Times New Roman" w:hAnsi="Arial" w:cs="Arial"/>
          <w:sz w:val="20"/>
          <w:szCs w:val="20"/>
          <w:lang w:eastAsia="pt-BR"/>
        </w:rPr>
        <w:t xml:space="preserve"> No ato de prorrogação da vigência da ata de registro de preços poderá haver a renovação dos quantitativos registrados, até o limite do quantitativo original, desde que justificado pelo órgão gerenciador.</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bCs/>
          <w:sz w:val="20"/>
          <w:szCs w:val="20"/>
          <w:lang w:eastAsia="pt-BR"/>
        </w:rPr>
        <w:t>3.1.3</w:t>
      </w:r>
      <w:r w:rsidRPr="001B7093">
        <w:rPr>
          <w:rFonts w:ascii="Arial" w:eastAsia="Times New Roman" w:hAnsi="Arial" w:cs="Arial"/>
          <w:sz w:val="20"/>
          <w:szCs w:val="20"/>
          <w:lang w:eastAsia="pt-BR"/>
        </w:rPr>
        <w:t>. É vedado efetuar acréscimos nos quantitativos fixados pela ARP.</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lang w:eastAsia="pt-BR"/>
        </w:rPr>
      </w:pPr>
      <w:r w:rsidRPr="001B7093">
        <w:rPr>
          <w:rFonts w:ascii="Arial" w:eastAsia="Times New Roman" w:hAnsi="Arial" w:cs="Times New Roman"/>
          <w:b/>
          <w:bCs/>
          <w:caps/>
          <w:color w:val="FFFFFF"/>
          <w:lang w:eastAsia="pt-BR"/>
        </w:rPr>
        <w:t>CLÁUSULA quarta -  Revisão do Preço registrado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b/>
          <w:bCs/>
          <w:sz w:val="20"/>
          <w:szCs w:val="20"/>
          <w:lang w:eastAsia="pt-BR"/>
        </w:rPr>
      </w:pPr>
      <w:r w:rsidRPr="001B7093">
        <w:rPr>
          <w:rFonts w:ascii="Arial" w:eastAsia="Times New Roman" w:hAnsi="Arial" w:cs="Arial"/>
          <w:b/>
          <w:bCs/>
          <w:sz w:val="20"/>
          <w:szCs w:val="20"/>
          <w:lang w:eastAsia="pt-BR"/>
        </w:rPr>
        <w:t>Revisão de Preço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b/>
          <w:bCs/>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bCs/>
          <w:sz w:val="20"/>
          <w:szCs w:val="20"/>
          <w:lang w:eastAsia="pt-BR"/>
        </w:rPr>
        <w:t>4.1</w:t>
      </w:r>
      <w:r w:rsidRPr="001B7093">
        <w:rPr>
          <w:rFonts w:ascii="Arial" w:eastAsia="Times New Roman" w:hAnsi="Arial" w:cs="Arial"/>
          <w:b/>
          <w:color w:val="000000"/>
          <w:sz w:val="20"/>
          <w:szCs w:val="20"/>
          <w:lang w:eastAsia="pt-BR"/>
        </w:rPr>
        <w:t xml:space="preserve">. </w:t>
      </w:r>
      <w:r w:rsidRPr="001B7093">
        <w:rPr>
          <w:rFonts w:ascii="Arial" w:eastAsia="Times New Roman" w:hAnsi="Arial" w:cs="Arial"/>
          <w:color w:val="000000"/>
          <w:sz w:val="20"/>
          <w:szCs w:val="20"/>
          <w:lang w:eastAsia="pt-BR"/>
        </w:rPr>
        <w:t>Durante a vigência da ARP o órgão gerenciador deverá proceder à atualização periódica dos preços registrados, com o objetivo de verificar a oscilação de mercado e adotar uma das medidas previstas nesta cláusula, se for o caso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4.2.</w:t>
      </w:r>
      <w:r w:rsidRPr="001B7093">
        <w:rPr>
          <w:rFonts w:ascii="Arial" w:eastAsia="Times New Roman" w:hAnsi="Arial" w:cs="Arial"/>
          <w:sz w:val="20"/>
          <w:szCs w:val="20"/>
          <w:lang w:eastAsia="pt-BR"/>
        </w:rPr>
        <w:t xml:space="preserve"> Nas hipóteses da alínea “d” do inciso II do caput do art. 124 da Lei Federal nº 14.133, de 2021 (</w:t>
      </w:r>
      <w:r w:rsidRPr="001B7093">
        <w:rPr>
          <w:rFonts w:ascii="Arial" w:eastAsia="Calibri" w:hAnsi="Arial" w:cs="Arial"/>
          <w:color w:val="000000"/>
          <w:sz w:val="20"/>
          <w:szCs w:val="20"/>
        </w:rPr>
        <w:t>caso de força maior, caso fortuito ou fato do príncipe ou em decorrência de fatos imprevisíveis ou previsíveis de consequências incalculáveis, que inviabilizem a execução do contrato tal como pactuado), o</w:t>
      </w:r>
      <w:r w:rsidRPr="001B7093">
        <w:rPr>
          <w:rFonts w:ascii="Arial" w:eastAsia="Times New Roman" w:hAnsi="Arial" w:cs="Arial"/>
          <w:sz w:val="20"/>
          <w:szCs w:val="20"/>
          <w:lang w:eastAsia="pt-BR"/>
        </w:rPr>
        <w:t>s preços registrados poderão ser alterados, desde que observadas as disposições delineadas neste instrumento.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4.3.</w:t>
      </w:r>
      <w:r w:rsidRPr="001B7093">
        <w:rPr>
          <w:rFonts w:ascii="Arial" w:eastAsia="Times New Roman" w:hAnsi="Arial" w:cs="Arial"/>
          <w:sz w:val="20"/>
          <w:szCs w:val="20"/>
          <w:lang w:eastAsia="pt-BR"/>
        </w:rPr>
        <w:t xml:space="preserve"> Quando o preço registrado se tornar superior ao preço praticado no mercado, caberá ao órgão gerenciador promover as negociações para viabilizar a redução dos preços aos valores praticados pelo mercado, mediante as seguintes providências: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convocar</w:t>
      </w:r>
      <w:proofErr w:type="gramEnd"/>
      <w:r w:rsidRPr="001B7093">
        <w:rPr>
          <w:rFonts w:ascii="Arial" w:eastAsia="Times New Roman" w:hAnsi="Arial" w:cs="Arial"/>
          <w:sz w:val="20"/>
          <w:szCs w:val="20"/>
          <w:lang w:eastAsia="pt-BR"/>
        </w:rPr>
        <w:t xml:space="preserve"> o detentor da ARP, a fim de estabelecer negociação para redução dos preços originalmente registrados e a sua adequação ao praticado no mercado;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liberar</w:t>
      </w:r>
      <w:proofErr w:type="gramEnd"/>
      <w:r w:rsidRPr="001B7093">
        <w:rPr>
          <w:rFonts w:ascii="Arial" w:eastAsia="Times New Roman" w:hAnsi="Arial" w:cs="Arial"/>
          <w:sz w:val="20"/>
          <w:szCs w:val="20"/>
          <w:lang w:eastAsia="pt-BR"/>
        </w:rPr>
        <w:t xml:space="preserve"> o detentor da ARP do compromisso assumido, sem aplicação de penalidade, se frustrada a negociação com ele intentada;</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III – convocar os aderentes de preço, na ordem de classificação, visando a promover igual negociação.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4.3.1</w:t>
      </w:r>
      <w:r w:rsidRPr="001B7093">
        <w:rPr>
          <w:rFonts w:ascii="Arial" w:eastAsia="Times New Roman" w:hAnsi="Arial" w:cs="Arial"/>
          <w:sz w:val="20"/>
          <w:szCs w:val="20"/>
          <w:lang w:eastAsia="pt-BR"/>
        </w:rPr>
        <w:t>. A ordem de classificação dos aderentes de preço que aceitarem reduzir seus preços aos valores de mercado observará a classificação original.</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4.4</w:t>
      </w:r>
      <w:r w:rsidRPr="001B7093">
        <w:rPr>
          <w:rFonts w:ascii="Arial" w:eastAsia="Times New Roman" w:hAnsi="Arial" w:cs="Arial"/>
          <w:sz w:val="20"/>
          <w:szCs w:val="20"/>
          <w:lang w:eastAsia="pt-BR"/>
        </w:rPr>
        <w:t>. Quando o preço do mercado se tornar superior aos preços registrados e o detentor da ARP comunicar e comprovar, antes do pedido de fornecimento, a impossibilidade de cumprimento do compromisso inicialmente assumido, o órgão gerenciador deverá:</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liberar</w:t>
      </w:r>
      <w:proofErr w:type="gramEnd"/>
      <w:r w:rsidRPr="001B7093">
        <w:rPr>
          <w:rFonts w:ascii="Arial" w:eastAsia="Times New Roman" w:hAnsi="Arial" w:cs="Arial"/>
          <w:sz w:val="20"/>
          <w:szCs w:val="20"/>
          <w:lang w:eastAsia="pt-BR"/>
        </w:rPr>
        <w:t xml:space="preserve"> o fornecedor do compromisso assumido e sem aplicação da penalidade, se confirmada a veracidade dos motivos e se os comprovantes forem apresentados;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promover</w:t>
      </w:r>
      <w:proofErr w:type="gramEnd"/>
      <w:r w:rsidRPr="001B7093">
        <w:rPr>
          <w:rFonts w:ascii="Arial" w:eastAsia="Times New Roman" w:hAnsi="Arial" w:cs="Arial"/>
          <w:sz w:val="20"/>
          <w:szCs w:val="20"/>
          <w:lang w:eastAsia="pt-BR"/>
        </w:rPr>
        <w:t xml:space="preserve"> negociação com os aderentes de preço e os licitantes remanescentes, observado o procedimento descrito no subitem 4.6.</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Calibri" w:hAnsi="Arial" w:cs="Arial"/>
          <w:color w:val="000000"/>
          <w:sz w:val="20"/>
          <w:szCs w:val="20"/>
        </w:rPr>
      </w:pPr>
      <w:r w:rsidRPr="001B7093">
        <w:rPr>
          <w:rFonts w:ascii="Arial" w:eastAsia="Times New Roman" w:hAnsi="Arial" w:cs="Arial"/>
          <w:b/>
          <w:sz w:val="20"/>
          <w:szCs w:val="20"/>
          <w:lang w:eastAsia="pt-BR"/>
        </w:rPr>
        <w:t>4.4.1</w:t>
      </w:r>
      <w:r w:rsidRPr="001B7093">
        <w:rPr>
          <w:rFonts w:ascii="Arial" w:eastAsia="Times New Roman" w:hAnsi="Arial" w:cs="Arial"/>
          <w:sz w:val="20"/>
          <w:szCs w:val="20"/>
          <w:lang w:eastAsia="pt-BR"/>
        </w:rPr>
        <w:t>. Não existindo aderentes de preço e licitantes remanescentes, ou não havendo êxito nas negociações de que trata o subitem 4.6, o órgão gerenciador deverá proceder o cancelamento da ARP.</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4.5.</w:t>
      </w:r>
      <w:r w:rsidRPr="001B7093">
        <w:rPr>
          <w:rFonts w:ascii="Arial" w:eastAsia="Times New Roman" w:hAnsi="Arial" w:cs="Arial"/>
          <w:sz w:val="20"/>
          <w:szCs w:val="20"/>
          <w:lang w:eastAsia="pt-BR"/>
        </w:rPr>
        <w:t xml:space="preserve"> Na hipótese em que o detentor da ARP, antes do pedido de fornecimento, solicite a revisão do preço registrado e comprove que a elevação seja decorrente de evento posterior à assinatura da ARP, absolutamente independente da vontade das partes e proveniente de fatos imprevisíveis ou previsíveis de consequências incalculáveis que inviabilizem a manutenção dos preços registrados, o órgão gerenciador deverá:</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proceder</w:t>
      </w:r>
      <w:proofErr w:type="gramEnd"/>
      <w:r w:rsidRPr="001B7093">
        <w:rPr>
          <w:rFonts w:ascii="Arial" w:eastAsia="Times New Roman" w:hAnsi="Arial" w:cs="Arial"/>
          <w:sz w:val="20"/>
          <w:szCs w:val="20"/>
          <w:lang w:eastAsia="pt-BR"/>
        </w:rPr>
        <w:t xml:space="preserve"> às negociações na forma do subitem 4.6, e no caso do seu êxito, liberar o detentor da ARP do compromisso assumido e sem aplicação da penalidade; </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promover</w:t>
      </w:r>
      <w:proofErr w:type="gramEnd"/>
      <w:r w:rsidRPr="001B7093">
        <w:rPr>
          <w:rFonts w:ascii="Arial" w:eastAsia="Times New Roman" w:hAnsi="Arial" w:cs="Arial"/>
          <w:sz w:val="20"/>
          <w:szCs w:val="20"/>
          <w:lang w:eastAsia="pt-BR"/>
        </w:rPr>
        <w:t xml:space="preserve"> a alteração do preço registrado em favor do solicitante quando frustrada a negociação de que trata o inciso I.</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 xml:space="preserve">4.5.1. </w:t>
      </w:r>
      <w:r w:rsidRPr="001B7093">
        <w:rPr>
          <w:rFonts w:ascii="Arial" w:eastAsia="Times New Roman" w:hAnsi="Arial" w:cs="Arial"/>
          <w:sz w:val="20"/>
          <w:szCs w:val="20"/>
          <w:lang w:eastAsia="pt-BR"/>
        </w:rPr>
        <w:t>Diante da inexistência de aderentes de preço e licitantes remanescentes que impeçam a realização das negociações mencionada no inciso I, a revisão do preço solicitada pelo detentor da ata ficará condicionada a demonstração de que o valor pretendido está compatível com os valores praticados pelo mercado.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4.5.2.</w:t>
      </w:r>
      <w:r w:rsidRPr="001B7093">
        <w:rPr>
          <w:rFonts w:ascii="Arial" w:eastAsia="Times New Roman" w:hAnsi="Arial" w:cs="Arial"/>
          <w:sz w:val="20"/>
          <w:szCs w:val="20"/>
          <w:lang w:eastAsia="pt-BR"/>
        </w:rPr>
        <w:t xml:space="preserve"> A fixação do novo preço a ser registrado deverá ser consignada em Termo Aditivo à ARP, com as justificativas cabíveis, observada a anuência das partes.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4.5.3.</w:t>
      </w:r>
      <w:r w:rsidRPr="001B7093">
        <w:rPr>
          <w:rFonts w:ascii="Arial" w:eastAsia="Times New Roman" w:hAnsi="Arial" w:cs="Arial"/>
          <w:sz w:val="20"/>
          <w:szCs w:val="20"/>
          <w:lang w:eastAsia="pt-BR"/>
        </w:rPr>
        <w:t xml:space="preserve"> O órgão gerenciador deverá decidir sobre a revisão de preços, no prazo definido no parágrafo único do art. 123 da Lei Federal nº 14.133, de 2021.</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4.5.4.</w:t>
      </w:r>
      <w:r w:rsidRPr="001B7093">
        <w:rPr>
          <w:rFonts w:ascii="Arial" w:eastAsia="Times New Roman" w:hAnsi="Arial" w:cs="Arial"/>
          <w:sz w:val="20"/>
          <w:szCs w:val="20"/>
          <w:lang w:eastAsia="pt-BR"/>
        </w:rPr>
        <w:t xml:space="preserve"> A critério do órgão gerenciador, as utilizações e as adesões à ARP poderão ser suspensas durante o período de análise do pedido de revisão.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4.5.5.</w:t>
      </w:r>
      <w:r w:rsidRPr="001B7093">
        <w:rPr>
          <w:rFonts w:ascii="Arial" w:eastAsia="Times New Roman" w:hAnsi="Arial" w:cs="Arial"/>
          <w:sz w:val="20"/>
          <w:szCs w:val="20"/>
          <w:lang w:eastAsia="pt-BR"/>
        </w:rPr>
        <w:t xml:space="preserve"> A alteração dos preços registrados não modifica automaticamente os preços dos contratos decorrentes do SRP, cuja revisão deverá ser feita pelo órgão da Administração Direta, pela autarquia ou pela fundação do Poder Executivo Estadual contratante, observadas as disposições legais incidentes sobre os contratos.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1B7093">
        <w:rPr>
          <w:rFonts w:ascii="Arial" w:eastAsia="Calibri" w:hAnsi="Arial" w:cs="Arial"/>
          <w:b/>
          <w:sz w:val="20"/>
          <w:szCs w:val="20"/>
        </w:rPr>
        <w:t>Orientações práticas: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Times New Roman" w:hAnsi="Arial" w:cs="Arial"/>
          <w:b/>
          <w:sz w:val="20"/>
          <w:szCs w:val="20"/>
          <w:lang w:eastAsia="pt-BR"/>
        </w:rPr>
        <w:t>Revisão de preço registrado em ata</w:t>
      </w:r>
      <w:r w:rsidRPr="001B7093">
        <w:rPr>
          <w:rFonts w:ascii="Arial" w:eastAsia="Times New Roman" w:hAnsi="Arial" w:cs="Arial"/>
          <w:sz w:val="20"/>
          <w:szCs w:val="20"/>
          <w:lang w:eastAsia="pt-BR"/>
        </w:rPr>
        <w:t>: O inciso VI do art. 82 da Lei nº 14.133/2021 determina que o edital d</w:t>
      </w:r>
      <w:r w:rsidRPr="001B7093">
        <w:rPr>
          <w:rFonts w:ascii="Arial" w:eastAsia="Calibri" w:hAnsi="Arial" w:cs="Arial"/>
          <w:color w:val="000000"/>
          <w:sz w:val="20"/>
          <w:szCs w:val="20"/>
        </w:rPr>
        <w:t xml:space="preserve">e licitação para registro de preços deverá prever as condições para alteração de preços registrados. </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Calibri" w:hAnsi="Arial" w:cs="Arial"/>
          <w:color w:val="000000"/>
          <w:sz w:val="20"/>
          <w:szCs w:val="20"/>
        </w:rPr>
        <w:t xml:space="preserve">Por sua vez, o </w:t>
      </w:r>
      <w:r w:rsidRPr="001B7093">
        <w:rPr>
          <w:rFonts w:ascii="Arial" w:eastAsia="Times New Roman" w:hAnsi="Arial" w:cs="Arial"/>
          <w:sz w:val="20"/>
          <w:szCs w:val="20"/>
          <w:lang w:eastAsia="pt-BR"/>
        </w:rPr>
        <w:t>Decreto nº 16.122, de 2023</w:t>
      </w:r>
      <w:r w:rsidRPr="001B7093">
        <w:rPr>
          <w:rFonts w:ascii="Arial" w:eastAsia="Calibri" w:hAnsi="Arial" w:cs="Arial"/>
          <w:color w:val="000000"/>
          <w:sz w:val="20"/>
          <w:szCs w:val="20"/>
        </w:rPr>
        <w:t>, disciplina nos artigos 20 a 24 as condições para as referidas revisões.</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Calibri" w:hAnsi="Arial" w:cs="Arial"/>
          <w:color w:val="000000"/>
          <w:sz w:val="20"/>
          <w:szCs w:val="20"/>
        </w:rPr>
        <w:t>Especialmente nas hipóteses de revisões em que o preço do mercado tenha se tornado superior aos preços registrados, os artigos 22 e 23 do citado Decreto autorizam (com fulcro no nos §§ 2º e 4º do art. 90 da Lei Federal nº 14.133, de 2021) a realização de negociação com os aderentes de preço e os licitantes remanescentes, desde que o edital conste o detalhamento de como esse procedimento de negociação irá ocorrer.</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color w:val="000000"/>
          <w:sz w:val="20"/>
          <w:szCs w:val="20"/>
        </w:rPr>
      </w:pPr>
      <w:r w:rsidRPr="001B7093">
        <w:rPr>
          <w:rFonts w:ascii="Arial" w:eastAsia="Calibri" w:hAnsi="Arial" w:cs="Arial"/>
          <w:color w:val="000000"/>
          <w:sz w:val="20"/>
          <w:szCs w:val="20"/>
        </w:rPr>
        <w:t>Assim, cabe a equipe de planejamento definir qual será a melhor metodologia a ser adotada no procedimento de negociação.</w:t>
      </w:r>
    </w:p>
    <w:p w:rsidR="001B7093" w:rsidRPr="001B7093" w:rsidRDefault="001B7093" w:rsidP="001B7093">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1B7093">
        <w:rPr>
          <w:rFonts w:ascii="Arial" w:eastAsia="Calibri" w:hAnsi="Arial" w:cs="Arial"/>
          <w:color w:val="000000"/>
          <w:sz w:val="20"/>
          <w:szCs w:val="20"/>
        </w:rPr>
        <w:t xml:space="preserve">Abaixo será proposto um </w:t>
      </w:r>
      <w:r w:rsidRPr="001B7093">
        <w:rPr>
          <w:rFonts w:ascii="Arial" w:eastAsia="Calibri" w:hAnsi="Arial" w:cs="Arial"/>
          <w:b/>
          <w:color w:val="000000"/>
          <w:sz w:val="20"/>
          <w:szCs w:val="20"/>
          <w:u w:val="single"/>
        </w:rPr>
        <w:t>texto sugestivo</w:t>
      </w:r>
      <w:r w:rsidRPr="001B7093">
        <w:rPr>
          <w:rFonts w:ascii="Arial" w:eastAsia="Calibri" w:hAnsi="Arial" w:cs="Arial"/>
          <w:color w:val="000000"/>
          <w:sz w:val="20"/>
          <w:szCs w:val="20"/>
        </w:rPr>
        <w:t>, na cor vermelho, contendo um procedimento de revisão denominada pela doutrina especializada de teoria dos “</w:t>
      </w:r>
      <w:r w:rsidRPr="001B7093">
        <w:rPr>
          <w:rFonts w:ascii="Arial" w:eastAsia="Calibri" w:hAnsi="Arial" w:cs="Arial"/>
          <w:i/>
          <w:color w:val="000000"/>
          <w:sz w:val="20"/>
          <w:szCs w:val="20"/>
        </w:rPr>
        <w:t xml:space="preserve">jogos” </w:t>
      </w:r>
      <w:r w:rsidRPr="001B7093">
        <w:rPr>
          <w:rFonts w:ascii="Arial" w:eastAsia="Calibri" w:hAnsi="Arial" w:cs="Arial"/>
          <w:color w:val="000000"/>
          <w:sz w:val="20"/>
          <w:szCs w:val="20"/>
        </w:rPr>
        <w:t>(</w:t>
      </w:r>
      <w:r w:rsidRPr="001B7093">
        <w:rPr>
          <w:rFonts w:ascii="Arial" w:eastAsia="Calibri" w:hAnsi="Arial" w:cs="Arial"/>
          <w:i/>
          <w:color w:val="000000"/>
          <w:sz w:val="20"/>
          <w:szCs w:val="20"/>
        </w:rPr>
        <w:t xml:space="preserve">CAMELO, </w:t>
      </w:r>
      <w:proofErr w:type="spellStart"/>
      <w:r w:rsidRPr="001B7093">
        <w:rPr>
          <w:rFonts w:ascii="Arial" w:eastAsia="Calibri" w:hAnsi="Arial" w:cs="Arial"/>
          <w:i/>
          <w:color w:val="000000"/>
          <w:sz w:val="20"/>
          <w:szCs w:val="20"/>
        </w:rPr>
        <w:t>Bradson</w:t>
      </w:r>
      <w:proofErr w:type="spellEnd"/>
      <w:r w:rsidRPr="001B7093">
        <w:rPr>
          <w:rFonts w:ascii="Arial" w:eastAsia="Calibri" w:hAnsi="Arial" w:cs="Arial"/>
          <w:i/>
          <w:color w:val="000000"/>
          <w:sz w:val="20"/>
          <w:szCs w:val="20"/>
        </w:rPr>
        <w:t>; NOBREGA, Marcos; TORRES, Ronny Charles L. de. Análise econômica das licitações e contratos.  Belo Horizonte: Fórum, 2022)</w:t>
      </w:r>
      <w:r w:rsidRPr="001B7093">
        <w:rPr>
          <w:rFonts w:ascii="Arial" w:eastAsia="Calibri" w:hAnsi="Arial" w:cs="Arial"/>
          <w:color w:val="000000"/>
          <w:sz w:val="20"/>
          <w:szCs w:val="20"/>
        </w:rPr>
        <w:t>, sem prejuízo da utilização de outras metodologias a serem especificadas</w:t>
      </w:r>
      <w:r w:rsidRPr="001B7093">
        <w:rPr>
          <w:rFonts w:ascii="Arial" w:eastAsia="Calibri" w:hAnsi="Arial" w:cs="Arial"/>
          <w:i/>
          <w:color w:val="000000"/>
          <w:sz w:val="20"/>
          <w:szCs w:val="20"/>
        </w:rPr>
        <w:t>.</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
          <w:color w:val="000000"/>
          <w:sz w:val="20"/>
          <w:szCs w:val="20"/>
          <w:lang w:eastAsia="pt-BR"/>
        </w:rPr>
      </w:pPr>
      <w:r w:rsidRPr="001B7093">
        <w:rPr>
          <w:rFonts w:ascii="Arial" w:eastAsia="Times New Roman" w:hAnsi="Arial" w:cs="Arial"/>
          <w:b/>
          <w:color w:val="000000"/>
          <w:sz w:val="20"/>
          <w:szCs w:val="20"/>
          <w:lang w:eastAsia="pt-BR"/>
        </w:rPr>
        <w:t>Da negociação para fins de revisão de preço</w:t>
      </w:r>
    </w:p>
    <w:p w:rsidR="001B7093" w:rsidRPr="001B7093" w:rsidRDefault="001B7093" w:rsidP="001B7093">
      <w:pPr>
        <w:widowControl w:val="0"/>
        <w:spacing w:after="0" w:line="240" w:lineRule="auto"/>
        <w:jc w:val="both"/>
        <w:rPr>
          <w:rFonts w:ascii="Arial" w:eastAsia="Times New Roman" w:hAnsi="Arial" w:cs="Arial"/>
          <w:b/>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000000"/>
          <w:sz w:val="20"/>
          <w:szCs w:val="20"/>
          <w:lang w:eastAsia="pt-BR"/>
        </w:rPr>
        <w:t>4.6</w:t>
      </w:r>
      <w:r w:rsidRPr="001B7093">
        <w:rPr>
          <w:rFonts w:ascii="Arial" w:eastAsia="Times New Roman" w:hAnsi="Arial" w:cs="Arial"/>
          <w:color w:val="000000"/>
          <w:sz w:val="20"/>
          <w:szCs w:val="20"/>
          <w:lang w:eastAsia="pt-BR"/>
        </w:rPr>
        <w:t xml:space="preserve">. </w:t>
      </w:r>
      <w:r w:rsidRPr="001B7093">
        <w:rPr>
          <w:rFonts w:ascii="Arial" w:eastAsia="Times New Roman" w:hAnsi="Arial" w:cs="Arial"/>
          <w:color w:val="FF0000"/>
          <w:sz w:val="20"/>
          <w:szCs w:val="20"/>
          <w:lang w:eastAsia="pt-BR"/>
        </w:rPr>
        <w:t>As negociações de que tratam os subitens 4.4.1 e 4.5 deverão observar o seguinte procedimento:</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4.6.1.</w:t>
      </w:r>
      <w:r w:rsidRPr="001B7093">
        <w:rPr>
          <w:rFonts w:ascii="Arial" w:eastAsia="Times New Roman" w:hAnsi="Arial" w:cs="Arial"/>
          <w:color w:val="FF0000"/>
          <w:sz w:val="20"/>
          <w:szCs w:val="20"/>
          <w:lang w:eastAsia="pt-BR"/>
        </w:rPr>
        <w:t xml:space="preserve"> O órgão gerenciador deverá convocar os aderentes de preço e os licitantes remanescentes, na ordem de classificação, para a formalização da ata de registro de preço nas condições propostas pelo detentor da ata.</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4.6.2</w:t>
      </w:r>
      <w:r w:rsidRPr="001B7093">
        <w:rPr>
          <w:rFonts w:ascii="Arial" w:eastAsia="Times New Roman" w:hAnsi="Arial" w:cs="Arial"/>
          <w:color w:val="FF0000"/>
          <w:sz w:val="20"/>
          <w:szCs w:val="20"/>
          <w:lang w:eastAsia="pt-BR"/>
        </w:rPr>
        <w:t>. Na hipótese de nenhum dos convocados aceitar a contratação nos termos do subitem 4.6.1, o Órgão Gerenciador, poderá convocar os aderentes de preço e os licitantes remanescentes para negociação, na ordem de classificação, com vistas à obtenção de preço melhor, mesmo que acima do preço registrado em ata.</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4.6.2.1</w:t>
      </w:r>
      <w:r w:rsidRPr="001B7093">
        <w:rPr>
          <w:rFonts w:ascii="Arial" w:eastAsia="Times New Roman" w:hAnsi="Arial" w:cs="Arial"/>
          <w:color w:val="FF0000"/>
          <w:sz w:val="20"/>
          <w:szCs w:val="20"/>
          <w:lang w:eastAsia="pt-BR"/>
        </w:rPr>
        <w:t>. Na negociação a que se refere o subitem 4.6.2 caberá ao órgão gerenciador propor os preços revisados da seguinte maneira:</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I – Primeira rodada de negociações</w:t>
      </w:r>
      <w:r w:rsidRPr="001B7093">
        <w:rPr>
          <w:rFonts w:ascii="Arial" w:eastAsia="Times New Roman" w:hAnsi="Arial" w:cs="Arial"/>
          <w:color w:val="FF0000"/>
          <w:sz w:val="20"/>
          <w:szCs w:val="20"/>
          <w:lang w:eastAsia="pt-BR"/>
        </w:rPr>
        <w:t xml:space="preserve"> (c): será proposto aos convocados o valor resultante da média entre o preço registrado em ata (a) e o preço revisional pretendido pelo detentor da ata ou o preço ofertado pelo licitante classificado em segundo lugar no procedimento licitatório, o que for menor (b).</w:t>
      </w:r>
    </w:p>
    <w:p w:rsidR="001B7093" w:rsidRPr="001B7093" w:rsidRDefault="001B7093" w:rsidP="001B7093">
      <w:pPr>
        <w:spacing w:after="0" w:line="240" w:lineRule="auto"/>
        <w:jc w:val="center"/>
        <w:rPr>
          <w:rFonts w:ascii="Calibri" w:eastAsia="Times New Roman" w:hAnsi="Calibri" w:cs="Calibri"/>
          <w:i/>
          <w:color w:val="FF0000"/>
          <w:lang w:eastAsia="pt-BR"/>
        </w:rPr>
      </w:pPr>
      <w:proofErr w:type="gramStart"/>
      <w:r w:rsidRPr="001B7093">
        <w:rPr>
          <w:rFonts w:ascii="Calibri" w:eastAsia="Times New Roman" w:hAnsi="Calibri" w:cs="Calibri"/>
          <w:i/>
          <w:color w:val="FF0000"/>
          <w:u w:val="single"/>
          <w:lang w:eastAsia="pt-BR"/>
        </w:rPr>
        <w:t>a</w:t>
      </w:r>
      <w:proofErr w:type="gramEnd"/>
      <w:r w:rsidRPr="001B7093">
        <w:rPr>
          <w:rFonts w:ascii="Calibri" w:eastAsia="Times New Roman" w:hAnsi="Calibri" w:cs="Calibri"/>
          <w:i/>
          <w:color w:val="FF0000"/>
          <w:u w:val="single"/>
          <w:lang w:eastAsia="pt-BR"/>
        </w:rPr>
        <w:t xml:space="preserve"> + b</w:t>
      </w:r>
      <w:r w:rsidRPr="001B7093">
        <w:rPr>
          <w:rFonts w:ascii="Calibri" w:eastAsia="Times New Roman" w:hAnsi="Calibri" w:cs="Calibri"/>
          <w:i/>
          <w:color w:val="FF0000"/>
          <w:lang w:eastAsia="pt-BR"/>
        </w:rPr>
        <w:t xml:space="preserve"> = c</w:t>
      </w:r>
    </w:p>
    <w:p w:rsidR="001B7093" w:rsidRPr="001B7093" w:rsidRDefault="001B7093" w:rsidP="001B7093">
      <w:pPr>
        <w:spacing w:after="0" w:line="240" w:lineRule="auto"/>
        <w:ind w:firstLine="3969"/>
        <w:rPr>
          <w:rFonts w:ascii="Calibri" w:eastAsia="Times New Roman" w:hAnsi="Calibri" w:cs="Calibri"/>
          <w:i/>
          <w:color w:val="FF0000"/>
          <w:lang w:eastAsia="pt-BR"/>
        </w:rPr>
      </w:pPr>
      <w:r w:rsidRPr="001B7093">
        <w:rPr>
          <w:rFonts w:ascii="Calibri" w:eastAsia="Times New Roman" w:hAnsi="Calibri" w:cs="Calibri"/>
          <w:i/>
          <w:color w:val="FF0000"/>
          <w:lang w:eastAsia="pt-BR"/>
        </w:rPr>
        <w:t>2</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
    <w:p w:rsidR="001B7093" w:rsidRPr="001B7093" w:rsidRDefault="001B7093" w:rsidP="001B7093">
      <w:pPr>
        <w:jc w:val="both"/>
        <w:rPr>
          <w:rFonts w:ascii="Calibri" w:eastAsia="Times New Roman" w:hAnsi="Calibri" w:cs="Calibri"/>
          <w:i/>
          <w:color w:val="FF0000"/>
          <w:lang w:eastAsia="pt-BR"/>
        </w:rPr>
      </w:pPr>
      <w:r w:rsidRPr="001B7093">
        <w:rPr>
          <w:rFonts w:ascii="Calibri" w:eastAsia="Times New Roman" w:hAnsi="Calibri" w:cs="Calibri"/>
          <w:i/>
          <w:color w:val="FF0000"/>
          <w:lang w:eastAsia="pt-BR"/>
        </w:rPr>
        <w:t>Onde:</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a</w:t>
      </w:r>
      <w:proofErr w:type="gramEnd"/>
      <w:r w:rsidRPr="001B7093">
        <w:rPr>
          <w:rFonts w:ascii="Arial" w:eastAsia="Times New Roman" w:hAnsi="Arial" w:cs="Arial"/>
          <w:i/>
          <w:color w:val="FF0000"/>
          <w:sz w:val="20"/>
          <w:szCs w:val="20"/>
          <w:lang w:eastAsia="pt-BR"/>
        </w:rPr>
        <w:t xml:space="preserve">: corresponde ao preço registrado em ata </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roofErr w:type="gramStart"/>
      <w:r w:rsidRPr="001B7093">
        <w:rPr>
          <w:rFonts w:ascii="Arial" w:eastAsia="Times New Roman" w:hAnsi="Arial" w:cs="Arial"/>
          <w:color w:val="FF0000"/>
          <w:sz w:val="20"/>
          <w:szCs w:val="20"/>
          <w:lang w:eastAsia="pt-BR"/>
        </w:rPr>
        <w:t>b</w:t>
      </w:r>
      <w:proofErr w:type="gramEnd"/>
      <w:r w:rsidRPr="001B7093">
        <w:rPr>
          <w:rFonts w:ascii="Arial" w:eastAsia="Times New Roman" w:hAnsi="Arial" w:cs="Arial"/>
          <w:color w:val="FF0000"/>
          <w:sz w:val="20"/>
          <w:szCs w:val="20"/>
          <w:lang w:eastAsia="pt-BR"/>
        </w:rPr>
        <w:t>: corresponde ao preço revisional pretendido pelo detentor da ata ou o preço ofertado pelo licitante classificado em segundo lugar no procedimento licitatório, o que for menor</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c</w:t>
      </w:r>
      <w:proofErr w:type="gramEnd"/>
      <w:r w:rsidRPr="001B7093">
        <w:rPr>
          <w:rFonts w:ascii="Arial" w:eastAsia="Times New Roman" w:hAnsi="Arial" w:cs="Arial"/>
          <w:i/>
          <w:color w:val="FF0000"/>
          <w:sz w:val="20"/>
          <w:szCs w:val="20"/>
          <w:lang w:eastAsia="pt-BR"/>
        </w:rPr>
        <w:t xml:space="preserve">: corresponde à média de ‘a’ e ‘b’ e indica o preço ofertado na primeira rodada de negociações </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 xml:space="preserve">II – Segunda rodada de negociações </w:t>
      </w:r>
      <w:r w:rsidRPr="001B7093">
        <w:rPr>
          <w:rFonts w:ascii="Arial" w:eastAsia="Times New Roman" w:hAnsi="Arial" w:cs="Arial"/>
          <w:color w:val="FF0000"/>
          <w:sz w:val="20"/>
          <w:szCs w:val="20"/>
          <w:lang w:eastAsia="pt-BR"/>
        </w:rPr>
        <w:t>(d): caso nenhum dos convocados aceite o preço ofertado, será proposto, em uma segunda rodada de negociações, o valor resultante da média entre o preço da primeira rodada de negociações (c) e o preço revisional pretendido pelo detentor da ata ou o preço ofertado pelo licitante classificado em segundo lugar no procedimento licitatório, o que for menor (b).</w:t>
      </w:r>
    </w:p>
    <w:p w:rsidR="001B7093" w:rsidRPr="001B7093" w:rsidRDefault="001B7093" w:rsidP="001B7093">
      <w:pPr>
        <w:spacing w:after="0" w:line="240" w:lineRule="auto"/>
        <w:jc w:val="center"/>
        <w:rPr>
          <w:rFonts w:ascii="Calibri" w:eastAsia="Times New Roman" w:hAnsi="Calibri" w:cs="Calibri"/>
          <w:i/>
          <w:color w:val="FF0000"/>
          <w:lang w:eastAsia="pt-BR"/>
        </w:rPr>
      </w:pPr>
      <w:proofErr w:type="gramStart"/>
      <w:r w:rsidRPr="001B7093">
        <w:rPr>
          <w:rFonts w:ascii="Calibri" w:eastAsia="Times New Roman" w:hAnsi="Calibri" w:cs="Calibri"/>
          <w:i/>
          <w:color w:val="FF0000"/>
          <w:u w:val="single"/>
          <w:lang w:eastAsia="pt-BR"/>
        </w:rPr>
        <w:t>b</w:t>
      </w:r>
      <w:proofErr w:type="gramEnd"/>
      <w:r w:rsidRPr="001B7093">
        <w:rPr>
          <w:rFonts w:ascii="Calibri" w:eastAsia="Times New Roman" w:hAnsi="Calibri" w:cs="Calibri"/>
          <w:i/>
          <w:color w:val="FF0000"/>
          <w:u w:val="single"/>
          <w:lang w:eastAsia="pt-BR"/>
        </w:rPr>
        <w:t xml:space="preserve"> + c</w:t>
      </w:r>
      <w:r w:rsidRPr="001B7093">
        <w:rPr>
          <w:rFonts w:ascii="Calibri" w:eastAsia="Times New Roman" w:hAnsi="Calibri" w:cs="Calibri"/>
          <w:i/>
          <w:color w:val="FF0000"/>
          <w:lang w:eastAsia="pt-BR"/>
        </w:rPr>
        <w:t xml:space="preserve"> = d</w:t>
      </w:r>
    </w:p>
    <w:p w:rsidR="001B7093" w:rsidRPr="001B7093" w:rsidRDefault="001B7093" w:rsidP="001B7093">
      <w:pPr>
        <w:spacing w:after="0" w:line="240" w:lineRule="auto"/>
        <w:ind w:firstLine="3969"/>
        <w:rPr>
          <w:rFonts w:ascii="Calibri" w:eastAsia="Times New Roman" w:hAnsi="Calibri" w:cs="Calibri"/>
          <w:i/>
          <w:color w:val="FF0000"/>
          <w:lang w:eastAsia="pt-BR"/>
        </w:rPr>
      </w:pPr>
      <w:r w:rsidRPr="001B7093">
        <w:rPr>
          <w:rFonts w:ascii="Calibri" w:eastAsia="Times New Roman" w:hAnsi="Calibri" w:cs="Calibri"/>
          <w:i/>
          <w:color w:val="FF0000"/>
          <w:lang w:eastAsia="pt-BR"/>
        </w:rPr>
        <w:t>2</w:t>
      </w:r>
    </w:p>
    <w:p w:rsidR="001B7093" w:rsidRPr="001B7093" w:rsidRDefault="001B7093" w:rsidP="001B7093">
      <w:pPr>
        <w:jc w:val="both"/>
        <w:rPr>
          <w:rFonts w:ascii="Calibri" w:eastAsia="Times New Roman" w:hAnsi="Calibri" w:cs="Calibri"/>
          <w:i/>
          <w:color w:val="FF0000"/>
          <w:lang w:eastAsia="pt-BR"/>
        </w:rPr>
      </w:pPr>
      <w:r w:rsidRPr="001B7093">
        <w:rPr>
          <w:rFonts w:ascii="Calibri" w:eastAsia="Times New Roman" w:hAnsi="Calibri" w:cs="Calibri"/>
          <w:i/>
          <w:color w:val="FF0000"/>
          <w:lang w:eastAsia="pt-BR"/>
        </w:rPr>
        <w:t>Onde:</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b</w:t>
      </w:r>
      <w:proofErr w:type="gramEnd"/>
      <w:r w:rsidRPr="001B7093">
        <w:rPr>
          <w:rFonts w:ascii="Arial" w:eastAsia="Times New Roman" w:hAnsi="Arial" w:cs="Arial"/>
          <w:i/>
          <w:color w:val="FF0000"/>
          <w:sz w:val="20"/>
          <w:szCs w:val="20"/>
          <w:lang w:eastAsia="pt-BR"/>
        </w:rPr>
        <w:t>: corresponde ao preço revisional pretendido pelo detentor da ata ou o preço ofertado pelo licitante classificado em segundo lugar no procedimento licitatório, o que for menor</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c</w:t>
      </w:r>
      <w:proofErr w:type="gramEnd"/>
      <w:r w:rsidRPr="001B7093">
        <w:rPr>
          <w:rFonts w:ascii="Arial" w:eastAsia="Times New Roman" w:hAnsi="Arial" w:cs="Arial"/>
          <w:i/>
          <w:color w:val="FF0000"/>
          <w:sz w:val="20"/>
          <w:szCs w:val="20"/>
          <w:lang w:eastAsia="pt-BR"/>
        </w:rPr>
        <w:t xml:space="preserve">: corresponde ao preço ofertado na primeira rodada de negociações. </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d</w:t>
      </w:r>
      <w:proofErr w:type="gramEnd"/>
      <w:r w:rsidRPr="001B7093">
        <w:rPr>
          <w:rFonts w:ascii="Arial" w:eastAsia="Times New Roman" w:hAnsi="Arial" w:cs="Arial"/>
          <w:i/>
          <w:color w:val="FF0000"/>
          <w:sz w:val="20"/>
          <w:szCs w:val="20"/>
          <w:lang w:eastAsia="pt-BR"/>
        </w:rPr>
        <w:t>: corresponde à média de ‘b’ e ‘c’ e indica o preço ofertado na segunda rodada de negociações</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4.6.3</w:t>
      </w:r>
      <w:r w:rsidRPr="001B7093">
        <w:rPr>
          <w:rFonts w:ascii="Arial" w:eastAsia="Times New Roman" w:hAnsi="Arial" w:cs="Arial"/>
          <w:color w:val="FF0000"/>
          <w:sz w:val="20"/>
          <w:szCs w:val="20"/>
          <w:lang w:eastAsia="pt-BR"/>
        </w:rPr>
        <w:t xml:space="preserve">. Encerrada, sem êxito, a segunda rodada de negociações, caso o preço revisional pretendido pelo detentor da ata esteja acima do preço ofertado pelo licitante classificado em segundo lugar, este último poderá ser convocado para formalizar a ata de registro de preço </w:t>
      </w:r>
      <w:r w:rsidRPr="001B7093">
        <w:rPr>
          <w:rFonts w:ascii="Arial" w:eastAsia="Calibri" w:hAnsi="Arial" w:cs="Arial"/>
          <w:color w:val="FF0000"/>
          <w:sz w:val="20"/>
          <w:szCs w:val="20"/>
        </w:rPr>
        <w:t>nas condições ofertadas por ele no procedimento licitatório</w:t>
      </w:r>
      <w:r w:rsidRPr="001B7093">
        <w:rPr>
          <w:rFonts w:ascii="Arial" w:eastAsia="Times New Roman" w:hAnsi="Arial" w:cs="Arial"/>
          <w:color w:val="FF0000"/>
          <w:sz w:val="20"/>
          <w:szCs w:val="20"/>
          <w:lang w:eastAsia="pt-BR"/>
        </w:rPr>
        <w:t>.</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4.6.3.1</w:t>
      </w:r>
      <w:r w:rsidRPr="001B7093">
        <w:rPr>
          <w:rFonts w:ascii="Arial" w:eastAsia="Times New Roman" w:hAnsi="Arial" w:cs="Arial"/>
          <w:color w:val="FF0000"/>
          <w:sz w:val="20"/>
          <w:szCs w:val="20"/>
          <w:lang w:eastAsia="pt-BR"/>
        </w:rPr>
        <w:t>. O licitante a que se refere o inciso 4.6.3 estará vinculado a proposta/lance apresentado, salvo se decorrido prazo de validade indicado no edital (§3º do art. 90 da Lei Federal nº 14.133/2021).</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4.6.3.2</w:t>
      </w:r>
      <w:r w:rsidRPr="001B7093">
        <w:rPr>
          <w:rFonts w:ascii="Arial" w:eastAsia="Times New Roman" w:hAnsi="Arial" w:cs="Arial"/>
          <w:color w:val="FF0000"/>
          <w:sz w:val="20"/>
          <w:szCs w:val="20"/>
          <w:lang w:eastAsia="pt-BR"/>
        </w:rPr>
        <w:t xml:space="preserve">. </w:t>
      </w:r>
      <w:r w:rsidRPr="001B7093">
        <w:rPr>
          <w:rFonts w:ascii="Arial" w:eastAsia="Calibri" w:hAnsi="Arial" w:cs="Arial"/>
          <w:color w:val="FF0000"/>
          <w:sz w:val="20"/>
          <w:szCs w:val="20"/>
        </w:rPr>
        <w:t xml:space="preserve">Decorrido o prazo de validade da proposta indicado no edital, e, caso o </w:t>
      </w:r>
      <w:r w:rsidRPr="001B7093">
        <w:rPr>
          <w:rFonts w:ascii="Arial" w:eastAsia="Times New Roman" w:hAnsi="Arial" w:cs="Arial"/>
          <w:color w:val="FF0000"/>
          <w:sz w:val="20"/>
          <w:szCs w:val="20"/>
          <w:lang w:eastAsia="pt-BR"/>
        </w:rPr>
        <w:t xml:space="preserve">licitante a que se refere o inciso 4.6.3 tenha declinado da formalização da ata de registro de preço </w:t>
      </w:r>
      <w:r w:rsidRPr="001B7093">
        <w:rPr>
          <w:rFonts w:ascii="Arial" w:eastAsia="Calibri" w:hAnsi="Arial" w:cs="Arial"/>
          <w:color w:val="FF0000"/>
          <w:sz w:val="20"/>
          <w:szCs w:val="20"/>
        </w:rPr>
        <w:t>nas suas condições ofertadas no procedimento licitatório</w:t>
      </w:r>
      <w:r w:rsidRPr="001B7093">
        <w:rPr>
          <w:rFonts w:ascii="Arial" w:eastAsia="Times New Roman" w:hAnsi="Arial" w:cs="Arial"/>
          <w:color w:val="FF0000"/>
          <w:sz w:val="20"/>
          <w:szCs w:val="20"/>
          <w:lang w:eastAsia="pt-BR"/>
        </w:rPr>
        <w:t xml:space="preserve">, o órgão gerenciador poderá dar seguimento à negociação, com as seguintes condições: </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III – Terceira rodada de negociações</w:t>
      </w:r>
      <w:r w:rsidRPr="001B7093">
        <w:rPr>
          <w:rFonts w:ascii="Arial" w:eastAsia="Times New Roman" w:hAnsi="Arial" w:cs="Arial"/>
          <w:color w:val="FF0000"/>
          <w:sz w:val="20"/>
          <w:szCs w:val="20"/>
          <w:lang w:eastAsia="pt-BR"/>
        </w:rPr>
        <w:t xml:space="preserve"> (f): será proposto aos convocados remanescentes, em uma terceira rodada de negociações, o valor resultante da média entre o preço da segunda rodada de negociações (d) e o preço revisional pretendido pelo detentor da ata ou o preço ofertado pelo licitante classificado em terceiro lugar no procedimento licitatório, o que for menor (e).</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spacing w:after="0" w:line="240" w:lineRule="auto"/>
        <w:jc w:val="center"/>
        <w:rPr>
          <w:rFonts w:ascii="Calibri" w:eastAsia="Times New Roman" w:hAnsi="Calibri" w:cs="Calibri"/>
          <w:i/>
          <w:color w:val="FF0000"/>
          <w:lang w:eastAsia="pt-BR"/>
        </w:rPr>
      </w:pPr>
      <w:proofErr w:type="gramStart"/>
      <w:r w:rsidRPr="001B7093">
        <w:rPr>
          <w:rFonts w:ascii="Calibri" w:eastAsia="Times New Roman" w:hAnsi="Calibri" w:cs="Calibri"/>
          <w:i/>
          <w:color w:val="FF0000"/>
          <w:u w:val="single"/>
          <w:lang w:eastAsia="pt-BR"/>
        </w:rPr>
        <w:t>d</w:t>
      </w:r>
      <w:proofErr w:type="gramEnd"/>
      <w:r w:rsidRPr="001B7093">
        <w:rPr>
          <w:rFonts w:ascii="Calibri" w:eastAsia="Times New Roman" w:hAnsi="Calibri" w:cs="Calibri"/>
          <w:i/>
          <w:color w:val="FF0000"/>
          <w:u w:val="single"/>
          <w:lang w:eastAsia="pt-BR"/>
        </w:rPr>
        <w:t xml:space="preserve"> + e</w:t>
      </w:r>
      <w:r w:rsidRPr="001B7093">
        <w:rPr>
          <w:rFonts w:ascii="Calibri" w:eastAsia="Times New Roman" w:hAnsi="Calibri" w:cs="Calibri"/>
          <w:i/>
          <w:color w:val="FF0000"/>
          <w:lang w:eastAsia="pt-BR"/>
        </w:rPr>
        <w:t xml:space="preserve"> = f</w:t>
      </w:r>
    </w:p>
    <w:p w:rsidR="001B7093" w:rsidRPr="001B7093" w:rsidRDefault="001B7093" w:rsidP="001B7093">
      <w:pPr>
        <w:spacing w:after="0" w:line="240" w:lineRule="auto"/>
        <w:ind w:firstLine="3969"/>
        <w:rPr>
          <w:rFonts w:ascii="Calibri" w:eastAsia="Times New Roman" w:hAnsi="Calibri" w:cs="Calibri"/>
          <w:i/>
          <w:color w:val="FF0000"/>
          <w:lang w:eastAsia="pt-BR"/>
        </w:rPr>
      </w:pPr>
      <w:r w:rsidRPr="001B7093">
        <w:rPr>
          <w:rFonts w:ascii="Calibri" w:eastAsia="Times New Roman" w:hAnsi="Calibri" w:cs="Calibri"/>
          <w:i/>
          <w:color w:val="FF0000"/>
          <w:lang w:eastAsia="pt-BR"/>
        </w:rPr>
        <w:t>2</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
    <w:p w:rsidR="001B7093" w:rsidRPr="001B7093" w:rsidRDefault="001B7093" w:rsidP="001B7093">
      <w:pPr>
        <w:jc w:val="both"/>
        <w:rPr>
          <w:rFonts w:ascii="Calibri" w:eastAsia="Times New Roman" w:hAnsi="Calibri" w:cs="Calibri"/>
          <w:i/>
          <w:color w:val="FF0000"/>
          <w:lang w:eastAsia="pt-BR"/>
        </w:rPr>
      </w:pPr>
      <w:r w:rsidRPr="001B7093">
        <w:rPr>
          <w:rFonts w:ascii="Calibri" w:eastAsia="Times New Roman" w:hAnsi="Calibri" w:cs="Calibri"/>
          <w:i/>
          <w:color w:val="FF0000"/>
          <w:lang w:eastAsia="pt-BR"/>
        </w:rPr>
        <w:t>Onde:</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d</w:t>
      </w:r>
      <w:proofErr w:type="gramEnd"/>
      <w:r w:rsidRPr="001B7093">
        <w:rPr>
          <w:rFonts w:ascii="Arial" w:eastAsia="Times New Roman" w:hAnsi="Arial" w:cs="Arial"/>
          <w:i/>
          <w:color w:val="FF0000"/>
          <w:sz w:val="20"/>
          <w:szCs w:val="20"/>
          <w:lang w:eastAsia="pt-BR"/>
        </w:rPr>
        <w:t>: corresponde ao preço ofertado na segunda rodada de negociações</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e</w:t>
      </w:r>
      <w:proofErr w:type="gramEnd"/>
      <w:r w:rsidRPr="001B7093">
        <w:rPr>
          <w:rFonts w:ascii="Arial" w:eastAsia="Times New Roman" w:hAnsi="Arial" w:cs="Arial"/>
          <w:i/>
          <w:color w:val="FF0000"/>
          <w:sz w:val="20"/>
          <w:szCs w:val="20"/>
          <w:lang w:eastAsia="pt-BR"/>
        </w:rPr>
        <w:t>: corresponde ao preço revisional pretendido pelo detentor da ata ou o preço ofertado pelo licitante classificado em terceiro lugar no procedimento licitatório, o que for menor</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f</w:t>
      </w:r>
      <w:proofErr w:type="gramEnd"/>
      <w:r w:rsidRPr="001B7093">
        <w:rPr>
          <w:rFonts w:ascii="Arial" w:eastAsia="Times New Roman" w:hAnsi="Arial" w:cs="Arial"/>
          <w:i/>
          <w:color w:val="FF0000"/>
          <w:sz w:val="20"/>
          <w:szCs w:val="20"/>
          <w:lang w:eastAsia="pt-BR"/>
        </w:rPr>
        <w:t xml:space="preserve">: corresponde à média de ‘d’ e ‘f’ e indica o preço ofertado na terceira rodada de negociações </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 xml:space="preserve">IV - Quarta rodada de negociações </w:t>
      </w:r>
      <w:r w:rsidRPr="001B7093">
        <w:rPr>
          <w:rFonts w:ascii="Arial" w:eastAsia="Times New Roman" w:hAnsi="Arial" w:cs="Arial"/>
          <w:color w:val="FF0000"/>
          <w:sz w:val="20"/>
          <w:szCs w:val="20"/>
          <w:lang w:eastAsia="pt-BR"/>
        </w:rPr>
        <w:t>(g): caso nenhum dos convocados aceite o preço ofertado, será proposto aos convocados remanescentes o valor resultante da média entre o preço da terceira rodada de negociações (f) e o preço revisional pretendido pelo detentor da ata ou o preço ofertado pelo licitante classificado em terceiro lugar no procedimento licitatório, o que for menor (e).</w:t>
      </w:r>
    </w:p>
    <w:p w:rsidR="001B7093" w:rsidRPr="001B7093" w:rsidRDefault="001B7093" w:rsidP="001B7093">
      <w:pPr>
        <w:spacing w:after="0" w:line="240" w:lineRule="auto"/>
        <w:jc w:val="center"/>
        <w:rPr>
          <w:rFonts w:ascii="Calibri" w:eastAsia="Times New Roman" w:hAnsi="Calibri" w:cs="Calibri"/>
          <w:i/>
          <w:color w:val="FF0000"/>
          <w:lang w:eastAsia="pt-BR"/>
        </w:rPr>
      </w:pPr>
      <w:proofErr w:type="gramStart"/>
      <w:r w:rsidRPr="001B7093">
        <w:rPr>
          <w:rFonts w:ascii="Calibri" w:eastAsia="Times New Roman" w:hAnsi="Calibri" w:cs="Calibri"/>
          <w:i/>
          <w:color w:val="FF0000"/>
          <w:u w:val="single"/>
          <w:lang w:eastAsia="pt-BR"/>
        </w:rPr>
        <w:t>e</w:t>
      </w:r>
      <w:proofErr w:type="gramEnd"/>
      <w:r w:rsidRPr="001B7093">
        <w:rPr>
          <w:rFonts w:ascii="Calibri" w:eastAsia="Times New Roman" w:hAnsi="Calibri" w:cs="Calibri"/>
          <w:i/>
          <w:color w:val="FF0000"/>
          <w:u w:val="single"/>
          <w:lang w:eastAsia="pt-BR"/>
        </w:rPr>
        <w:t xml:space="preserve"> + f</w:t>
      </w:r>
      <w:r w:rsidRPr="001B7093">
        <w:rPr>
          <w:rFonts w:ascii="Calibri" w:eastAsia="Times New Roman" w:hAnsi="Calibri" w:cs="Calibri"/>
          <w:i/>
          <w:color w:val="FF0000"/>
          <w:lang w:eastAsia="pt-BR"/>
        </w:rPr>
        <w:t xml:space="preserve"> = g</w:t>
      </w:r>
    </w:p>
    <w:p w:rsidR="001B7093" w:rsidRPr="001B7093" w:rsidRDefault="001B7093" w:rsidP="001B7093">
      <w:pPr>
        <w:spacing w:after="0" w:line="240" w:lineRule="auto"/>
        <w:ind w:firstLine="3969"/>
        <w:rPr>
          <w:rFonts w:ascii="Calibri" w:eastAsia="Times New Roman" w:hAnsi="Calibri" w:cs="Calibri"/>
          <w:i/>
          <w:color w:val="FF0000"/>
          <w:lang w:eastAsia="pt-BR"/>
        </w:rPr>
      </w:pPr>
      <w:r w:rsidRPr="001B7093">
        <w:rPr>
          <w:rFonts w:ascii="Calibri" w:eastAsia="Times New Roman" w:hAnsi="Calibri" w:cs="Calibri"/>
          <w:i/>
          <w:color w:val="FF0000"/>
          <w:lang w:eastAsia="pt-BR"/>
        </w:rPr>
        <w:t>2</w:t>
      </w:r>
    </w:p>
    <w:p w:rsidR="001B7093" w:rsidRPr="001B7093" w:rsidRDefault="001B7093" w:rsidP="001B7093">
      <w:pPr>
        <w:jc w:val="both"/>
        <w:rPr>
          <w:rFonts w:ascii="Calibri" w:eastAsia="Times New Roman" w:hAnsi="Calibri" w:cs="Calibri"/>
          <w:i/>
          <w:color w:val="FF0000"/>
          <w:lang w:eastAsia="pt-BR"/>
        </w:rPr>
      </w:pPr>
      <w:r w:rsidRPr="001B7093">
        <w:rPr>
          <w:rFonts w:ascii="Calibri" w:eastAsia="Times New Roman" w:hAnsi="Calibri" w:cs="Calibri"/>
          <w:i/>
          <w:color w:val="FF0000"/>
          <w:lang w:eastAsia="pt-BR"/>
        </w:rPr>
        <w:t>Onde:</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e</w:t>
      </w:r>
      <w:proofErr w:type="gramEnd"/>
      <w:r w:rsidRPr="001B7093">
        <w:rPr>
          <w:rFonts w:ascii="Arial" w:eastAsia="Times New Roman" w:hAnsi="Arial" w:cs="Arial"/>
          <w:i/>
          <w:color w:val="FF0000"/>
          <w:sz w:val="20"/>
          <w:szCs w:val="20"/>
          <w:lang w:eastAsia="pt-BR"/>
        </w:rPr>
        <w:t>: corresponde ao preço revisional pretendido pelo detentor da ata ou o preço ofertado pelo licitante classificado em terceiro lugar no procedimento licitatório, o que for menor</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f</w:t>
      </w:r>
      <w:proofErr w:type="gramEnd"/>
      <w:r w:rsidRPr="001B7093">
        <w:rPr>
          <w:rFonts w:ascii="Arial" w:eastAsia="Times New Roman" w:hAnsi="Arial" w:cs="Arial"/>
          <w:i/>
          <w:color w:val="FF0000"/>
          <w:sz w:val="20"/>
          <w:szCs w:val="20"/>
          <w:lang w:eastAsia="pt-BR"/>
        </w:rPr>
        <w:t xml:space="preserve">: corresponde ao preço ofertado na terceira rodada de negociações. </w:t>
      </w:r>
    </w:p>
    <w:p w:rsidR="001B7093" w:rsidRPr="001B7093" w:rsidRDefault="001B7093" w:rsidP="001B7093">
      <w:pPr>
        <w:widowControl w:val="0"/>
        <w:spacing w:after="0" w:line="240" w:lineRule="auto"/>
        <w:jc w:val="both"/>
        <w:rPr>
          <w:rFonts w:ascii="Arial" w:eastAsia="Times New Roman" w:hAnsi="Arial" w:cs="Arial"/>
          <w:i/>
          <w:color w:val="FF0000"/>
          <w:sz w:val="20"/>
          <w:szCs w:val="20"/>
          <w:lang w:eastAsia="pt-BR"/>
        </w:rPr>
      </w:pPr>
      <w:proofErr w:type="gramStart"/>
      <w:r w:rsidRPr="001B7093">
        <w:rPr>
          <w:rFonts w:ascii="Arial" w:eastAsia="Times New Roman" w:hAnsi="Arial" w:cs="Arial"/>
          <w:i/>
          <w:color w:val="FF0000"/>
          <w:sz w:val="20"/>
          <w:szCs w:val="20"/>
          <w:lang w:eastAsia="pt-BR"/>
        </w:rPr>
        <w:t>g</w:t>
      </w:r>
      <w:proofErr w:type="gramEnd"/>
      <w:r w:rsidRPr="001B7093">
        <w:rPr>
          <w:rFonts w:ascii="Arial" w:eastAsia="Times New Roman" w:hAnsi="Arial" w:cs="Arial"/>
          <w:i/>
          <w:color w:val="FF0000"/>
          <w:sz w:val="20"/>
          <w:szCs w:val="20"/>
          <w:lang w:eastAsia="pt-BR"/>
        </w:rPr>
        <w:t>: corresponde à média de ‘e’ e ‘f’ e indica o preço ofertado na quarta rodada de negociações</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4.6.4</w:t>
      </w:r>
      <w:r w:rsidRPr="001B7093">
        <w:rPr>
          <w:rFonts w:ascii="Arial" w:eastAsia="Times New Roman" w:hAnsi="Arial" w:cs="Arial"/>
          <w:color w:val="FF0000"/>
          <w:sz w:val="20"/>
          <w:szCs w:val="20"/>
          <w:lang w:eastAsia="pt-BR"/>
        </w:rPr>
        <w:t xml:space="preserve">. Encerrada, sem êxito, a quarta rodada de negociações, caso o preço revisional pretendido pelo detentor da ata esteja acima do preço ofertado pelo licitante classificado em terceiro lugar, este último poderá ser convocado para formalizar a ata de registro de preço </w:t>
      </w:r>
      <w:r w:rsidRPr="001B7093">
        <w:rPr>
          <w:rFonts w:ascii="Arial" w:eastAsia="Calibri" w:hAnsi="Arial" w:cs="Arial"/>
          <w:color w:val="FF0000"/>
          <w:sz w:val="20"/>
          <w:szCs w:val="20"/>
        </w:rPr>
        <w:t>nas condições ofertadas por ele no procedimento licitatório</w:t>
      </w:r>
      <w:r w:rsidRPr="001B7093">
        <w:rPr>
          <w:rFonts w:ascii="Arial" w:eastAsia="Times New Roman" w:hAnsi="Arial" w:cs="Arial"/>
          <w:color w:val="FF0000"/>
          <w:sz w:val="20"/>
          <w:szCs w:val="20"/>
          <w:lang w:eastAsia="pt-BR"/>
        </w:rPr>
        <w:t>.</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4.6.4.1</w:t>
      </w:r>
      <w:r w:rsidRPr="001B7093">
        <w:rPr>
          <w:rFonts w:ascii="Arial" w:eastAsia="Times New Roman" w:hAnsi="Arial" w:cs="Arial"/>
          <w:color w:val="FF0000"/>
          <w:sz w:val="20"/>
          <w:szCs w:val="20"/>
          <w:lang w:eastAsia="pt-BR"/>
        </w:rPr>
        <w:t>. O licitante a que se refere o inciso 4.6.4 estará vinculado a proposta/lance apresentado, salvo se decorrido prazo de validade indicado no edital (§3º do art. 90 da Lei Federal nº 14.133/2021).</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4.6.4.2</w:t>
      </w:r>
      <w:r w:rsidRPr="001B7093">
        <w:rPr>
          <w:rFonts w:ascii="Arial" w:eastAsia="Times New Roman" w:hAnsi="Arial" w:cs="Arial"/>
          <w:color w:val="FF0000"/>
          <w:sz w:val="20"/>
          <w:szCs w:val="20"/>
          <w:lang w:eastAsia="pt-BR"/>
        </w:rPr>
        <w:t xml:space="preserve">. </w:t>
      </w:r>
      <w:r w:rsidRPr="001B7093">
        <w:rPr>
          <w:rFonts w:ascii="Arial" w:eastAsia="Calibri" w:hAnsi="Arial" w:cs="Arial"/>
          <w:color w:val="FF0000"/>
          <w:sz w:val="20"/>
          <w:szCs w:val="20"/>
        </w:rPr>
        <w:t xml:space="preserve">Decorrido o prazo de validade da proposta indicado no edital, e, caso o </w:t>
      </w:r>
      <w:r w:rsidRPr="001B7093">
        <w:rPr>
          <w:rFonts w:ascii="Arial" w:eastAsia="Times New Roman" w:hAnsi="Arial" w:cs="Arial"/>
          <w:color w:val="FF0000"/>
          <w:sz w:val="20"/>
          <w:szCs w:val="20"/>
          <w:lang w:eastAsia="pt-BR"/>
        </w:rPr>
        <w:t xml:space="preserve">licitante a que se refere o inciso 4.6.4 tenha declinado da formalização da ata de registro de preço </w:t>
      </w:r>
      <w:r w:rsidRPr="001B7093">
        <w:rPr>
          <w:rFonts w:ascii="Arial" w:eastAsia="Calibri" w:hAnsi="Arial" w:cs="Arial"/>
          <w:color w:val="FF0000"/>
          <w:sz w:val="20"/>
          <w:szCs w:val="20"/>
        </w:rPr>
        <w:t>nas suas condições ofertadas no procedimento licitatório</w:t>
      </w:r>
      <w:r w:rsidRPr="001B7093">
        <w:rPr>
          <w:rFonts w:ascii="Arial" w:eastAsia="Times New Roman" w:hAnsi="Arial" w:cs="Arial"/>
          <w:color w:val="FF0000"/>
          <w:sz w:val="20"/>
          <w:szCs w:val="20"/>
          <w:lang w:eastAsia="pt-BR"/>
        </w:rPr>
        <w:t>, o órgão gerenciador poderá dar seguimento à negociação, nos moldes apresentados anteriormente.</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4.6.5</w:t>
      </w:r>
      <w:r w:rsidRPr="001B7093">
        <w:rPr>
          <w:rFonts w:ascii="Arial" w:eastAsia="Times New Roman" w:hAnsi="Arial" w:cs="Arial"/>
          <w:color w:val="FF0000"/>
          <w:sz w:val="20"/>
          <w:szCs w:val="20"/>
          <w:lang w:eastAsia="pt-BR"/>
        </w:rPr>
        <w:t>. Na adoção dos procedimentos descritos nos subitens 4.6.1, a 4.6.4, a Administração não poderá aceitar valores superiores ao valor estimado da contratação, observado o índice de atualização de preços correspondente.</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4.6.6.</w:t>
      </w:r>
      <w:r w:rsidRPr="001B7093">
        <w:rPr>
          <w:rFonts w:ascii="Arial" w:eastAsia="Times New Roman" w:hAnsi="Arial" w:cs="Arial"/>
          <w:color w:val="FF0000"/>
          <w:sz w:val="20"/>
          <w:szCs w:val="20"/>
          <w:lang w:eastAsia="pt-BR"/>
        </w:rPr>
        <w:t xml:space="preserve"> Na hipótese de êxito nas negociações a que se referem os subitens 4.6.1, a 4.6.4, deverá o órgão gerenciador promover:</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color w:val="FF0000"/>
          <w:sz w:val="20"/>
          <w:szCs w:val="20"/>
          <w:lang w:eastAsia="pt-BR"/>
        </w:rPr>
        <w:t xml:space="preserve">I - </w:t>
      </w:r>
      <w:proofErr w:type="gramStart"/>
      <w:r w:rsidRPr="001B7093">
        <w:rPr>
          <w:rFonts w:ascii="Arial" w:eastAsia="Times New Roman" w:hAnsi="Arial" w:cs="Arial"/>
          <w:color w:val="FF0000"/>
          <w:sz w:val="20"/>
          <w:szCs w:val="20"/>
          <w:lang w:eastAsia="pt-BR"/>
        </w:rPr>
        <w:t>a</w:t>
      </w:r>
      <w:proofErr w:type="gramEnd"/>
      <w:r w:rsidRPr="001B7093">
        <w:rPr>
          <w:rFonts w:ascii="Arial" w:eastAsia="Times New Roman" w:hAnsi="Arial" w:cs="Arial"/>
          <w:color w:val="FF0000"/>
          <w:sz w:val="20"/>
          <w:szCs w:val="20"/>
          <w:lang w:eastAsia="pt-BR"/>
        </w:rPr>
        <w:t xml:space="preserve"> realização de pesquisa de preço a fim de confirmar a vantagem no preço negociado;</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color w:val="FF0000"/>
          <w:sz w:val="20"/>
          <w:szCs w:val="20"/>
          <w:lang w:eastAsia="pt-BR"/>
        </w:rPr>
        <w:t xml:space="preserve">II - </w:t>
      </w:r>
      <w:proofErr w:type="gramStart"/>
      <w:r w:rsidRPr="001B7093">
        <w:rPr>
          <w:rFonts w:ascii="Arial" w:eastAsia="Times New Roman" w:hAnsi="Arial" w:cs="Arial"/>
          <w:color w:val="FF0000"/>
          <w:sz w:val="20"/>
          <w:szCs w:val="20"/>
          <w:lang w:eastAsia="pt-BR"/>
        </w:rPr>
        <w:t>o</w:t>
      </w:r>
      <w:proofErr w:type="gramEnd"/>
      <w:r w:rsidRPr="001B7093">
        <w:rPr>
          <w:rFonts w:ascii="Arial" w:eastAsia="Times New Roman" w:hAnsi="Arial" w:cs="Arial"/>
          <w:color w:val="FF0000"/>
          <w:sz w:val="20"/>
          <w:szCs w:val="20"/>
          <w:lang w:eastAsia="pt-BR"/>
        </w:rPr>
        <w:t xml:space="preserve"> cancelamento do preço registrado do detentor da ata; e</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color w:val="FF0000"/>
          <w:sz w:val="20"/>
          <w:szCs w:val="20"/>
          <w:lang w:eastAsia="pt-BR"/>
        </w:rPr>
        <w:t>III – a formalização de uma nova ata de registro de preço com o convocado que tenha aceitado as condições negociais oferecidas.</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4.6.6.1</w:t>
      </w:r>
      <w:r w:rsidRPr="001B7093">
        <w:rPr>
          <w:rFonts w:ascii="Arial" w:eastAsia="Times New Roman" w:hAnsi="Arial" w:cs="Arial"/>
          <w:color w:val="FF0000"/>
          <w:sz w:val="20"/>
          <w:szCs w:val="20"/>
          <w:lang w:eastAsia="pt-BR"/>
        </w:rPr>
        <w:t>. A formalização do novo instrumento de que trata o inciso II do subitem 4.6.6 deverá ficar restrita ao remanescente da ata de registro de preço alterada.</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color w:val="FF0000"/>
          <w:sz w:val="20"/>
          <w:szCs w:val="20"/>
          <w:lang w:eastAsia="pt-BR"/>
        </w:rPr>
        <w:t>4.6.7.</w:t>
      </w:r>
      <w:r w:rsidRPr="001B7093">
        <w:rPr>
          <w:rFonts w:ascii="Arial" w:eastAsia="Times New Roman" w:hAnsi="Arial" w:cs="Arial"/>
          <w:color w:val="FF0000"/>
          <w:sz w:val="20"/>
          <w:szCs w:val="20"/>
          <w:lang w:eastAsia="pt-BR"/>
        </w:rPr>
        <w:t xml:space="preserve"> Na hipótese de as negociações a que se referem os subitens 4.6.1, a 4.6.4 não restarem frutíferas, o órgão gerenciador deverá observar o disposto no subitem 4.4.1 e no inciso II do subitem 4.5. </w:t>
      </w:r>
    </w:p>
    <w:p w:rsidR="001B7093" w:rsidRPr="001B7093" w:rsidRDefault="001B7093" w:rsidP="001B7093">
      <w:pPr>
        <w:widowControl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lang w:eastAsia="pt-BR"/>
        </w:rPr>
      </w:pPr>
      <w:r w:rsidRPr="001B7093">
        <w:rPr>
          <w:rFonts w:ascii="Arial" w:eastAsia="Times New Roman" w:hAnsi="Arial" w:cs="Times New Roman"/>
          <w:b/>
          <w:bCs/>
          <w:caps/>
          <w:color w:val="FFFFFF"/>
          <w:lang w:eastAsia="pt-BR"/>
        </w:rPr>
        <w:t>CLÁUSULA QUINTA -  substituição de marca ou modelo do produto registrado</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5.1.</w:t>
      </w:r>
      <w:r w:rsidRPr="001B7093">
        <w:rPr>
          <w:rFonts w:ascii="Arial" w:eastAsia="Times New Roman" w:hAnsi="Arial" w:cs="Arial"/>
          <w:sz w:val="20"/>
          <w:szCs w:val="20"/>
          <w:lang w:eastAsia="pt-BR"/>
        </w:rPr>
        <w:t xml:space="preserve"> O órgão gerenciador poderá aceitar que o detentor da ARP substitua o produto por outro de marca ou de modelo diferente daquele registrado na ARP, por comprovado motivo ou por fato superveniente à licitação e desde que o novo produto possua, comprovadamente, desempenho e qualidade iguais ou superiores, não podendo haver majoração do preço registrado.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5.2.</w:t>
      </w:r>
      <w:r w:rsidRPr="001B7093">
        <w:rPr>
          <w:rFonts w:ascii="Arial" w:eastAsia="Times New Roman" w:hAnsi="Arial" w:cs="Arial"/>
          <w:sz w:val="20"/>
          <w:szCs w:val="20"/>
          <w:lang w:eastAsia="pt-BR"/>
        </w:rPr>
        <w:t xml:space="preserve"> A aceitação de que trata o subitem 5.1 poderá ser precedida de parecer técnico que ateste as informações prestadas pelo detentor da ata e deverá ser consignada em Termo Aditivo à ARP.</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lang w:eastAsia="pt-BR"/>
        </w:rPr>
      </w:pPr>
      <w:r w:rsidRPr="001B7093">
        <w:rPr>
          <w:rFonts w:ascii="Arial" w:eastAsia="Times New Roman" w:hAnsi="Arial" w:cs="Times New Roman"/>
          <w:b/>
          <w:bCs/>
          <w:caps/>
          <w:color w:val="FFFFFF"/>
          <w:lang w:eastAsia="pt-BR"/>
        </w:rPr>
        <w:t>CLÁUSULA SEXTA -  DOS DIREITOS E OBRIGAÇÕES DAS PARTES</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
          <w:bCs/>
          <w:sz w:val="20"/>
          <w:szCs w:val="20"/>
          <w:lang w:eastAsia="pt-BR"/>
        </w:rPr>
      </w:pPr>
      <w:r w:rsidRPr="001B7093">
        <w:rPr>
          <w:rFonts w:ascii="Arial" w:eastAsia="Times New Roman" w:hAnsi="Arial" w:cs="Arial"/>
          <w:b/>
          <w:bCs/>
          <w:sz w:val="20"/>
          <w:szCs w:val="20"/>
          <w:lang w:eastAsia="pt-BR"/>
        </w:rPr>
        <w:t>6.1. São obrigações do ÓRGÃO GERENCIADOR:</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6.1.1.</w:t>
      </w:r>
      <w:r w:rsidRPr="001B7093">
        <w:rPr>
          <w:rFonts w:ascii="Arial" w:eastAsia="Times New Roman" w:hAnsi="Arial" w:cs="Arial"/>
          <w:bCs/>
          <w:sz w:val="20"/>
          <w:szCs w:val="20"/>
          <w:lang w:eastAsia="pt-BR"/>
        </w:rPr>
        <w:t xml:space="preserve"> Publicar na imprensa oficial do Estado o extrato da ARP, com a indicação do número da licitação em referência, do objeto e do endereço do portal eletrônico da internet, onde poderão ser obtidas informações mais detalhadas da ARP (§2º do art. 16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6.1.2.</w:t>
      </w:r>
      <w:r w:rsidRPr="001B7093">
        <w:rPr>
          <w:rFonts w:ascii="Arial" w:eastAsia="Times New Roman" w:hAnsi="Arial" w:cs="Arial"/>
          <w:bCs/>
          <w:sz w:val="20"/>
          <w:szCs w:val="20"/>
          <w:lang w:eastAsia="pt-BR"/>
        </w:rPr>
        <w:t xml:space="preserve"> Publicar nos moldes do subitem 6.1.1 eventuais mudanças na ARP, inclusive de detentores da ARP, de marca, de modelo ou de quantitativos dos itens ou de seus respectivos preços (§3º do art. 16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6.1.3.</w:t>
      </w:r>
      <w:r w:rsidRPr="001B7093">
        <w:rPr>
          <w:rFonts w:ascii="Arial" w:eastAsia="Times New Roman" w:hAnsi="Arial" w:cs="Arial"/>
          <w:bCs/>
          <w:sz w:val="20"/>
          <w:szCs w:val="20"/>
          <w:lang w:eastAsia="pt-BR"/>
        </w:rPr>
        <w:t xml:space="preserve"> Divulgar, mediante publicação no seu portal oficial, o preço registrado com indicação dos fornecedores, cuja informação ficará disponível durante a vigência da ARP (§4º do art. 16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Calibri" w:hAnsi="Arial" w:cs="Arial"/>
          <w:sz w:val="20"/>
          <w:szCs w:val="20"/>
        </w:rPr>
      </w:pPr>
      <w:r w:rsidRPr="001B7093">
        <w:rPr>
          <w:rFonts w:ascii="Arial" w:eastAsia="Times New Roman" w:hAnsi="Arial" w:cs="Arial"/>
          <w:b/>
          <w:bCs/>
          <w:sz w:val="20"/>
          <w:szCs w:val="20"/>
          <w:lang w:eastAsia="pt-BR"/>
        </w:rPr>
        <w:t>6.1.4.</w:t>
      </w:r>
      <w:r w:rsidRPr="001B7093">
        <w:rPr>
          <w:rFonts w:ascii="Arial" w:eastAsia="Calibri" w:hAnsi="Arial" w:cs="Arial"/>
          <w:sz w:val="20"/>
          <w:szCs w:val="20"/>
        </w:rPr>
        <w:t xml:space="preserve"> Gerenciar a ata de registro de preços, com a prática, em especial, dos seguintes atos:</w:t>
      </w:r>
    </w:p>
    <w:p w:rsidR="001B7093" w:rsidRPr="001B7093" w:rsidRDefault="001B7093" w:rsidP="001B7093">
      <w:pPr>
        <w:widowControl w:val="0"/>
        <w:spacing w:after="0" w:line="240" w:lineRule="auto"/>
        <w:jc w:val="both"/>
        <w:rPr>
          <w:rFonts w:ascii="Arial" w:eastAsia="Calibri" w:hAnsi="Arial" w:cs="Arial"/>
          <w:sz w:val="20"/>
          <w:szCs w:val="20"/>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Calibri" w:hAnsi="Arial" w:cs="Arial"/>
          <w:b/>
          <w:sz w:val="20"/>
          <w:szCs w:val="20"/>
        </w:rPr>
        <w:t>6.1.4.1</w:t>
      </w:r>
      <w:r w:rsidRPr="001B7093">
        <w:rPr>
          <w:rFonts w:ascii="Arial" w:eastAsia="Times New Roman" w:hAnsi="Arial" w:cs="Arial"/>
          <w:b/>
          <w:bCs/>
          <w:sz w:val="20"/>
          <w:szCs w:val="20"/>
          <w:lang w:eastAsia="pt-BR"/>
        </w:rPr>
        <w:t>.</w:t>
      </w:r>
      <w:r w:rsidRPr="001B7093">
        <w:rPr>
          <w:rFonts w:ascii="Arial" w:eastAsia="Calibri" w:hAnsi="Arial" w:cs="Arial"/>
          <w:sz w:val="20"/>
          <w:szCs w:val="20"/>
        </w:rPr>
        <w:t xml:space="preserve"> </w:t>
      </w:r>
      <w:r w:rsidRPr="001B7093">
        <w:rPr>
          <w:rFonts w:ascii="Arial" w:eastAsia="Times New Roman" w:hAnsi="Arial" w:cs="Arial"/>
          <w:sz w:val="20"/>
          <w:szCs w:val="20"/>
          <w:lang w:eastAsia="pt-BR"/>
        </w:rPr>
        <w:t>Indicar para os Órgãos e Entidades Participantes os fornecedores e seus respectivos saldos, visando subsidiar os pedidos de compras, respeitada a ordem de registro e os quantitativos a serem fornecidos;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Calibri" w:hAnsi="Arial" w:cs="Arial"/>
          <w:sz w:val="20"/>
          <w:szCs w:val="20"/>
        </w:rPr>
      </w:pPr>
      <w:r w:rsidRPr="001B7093">
        <w:rPr>
          <w:rFonts w:ascii="Arial" w:eastAsia="Calibri" w:hAnsi="Arial" w:cs="Arial"/>
          <w:b/>
          <w:sz w:val="20"/>
          <w:szCs w:val="20"/>
        </w:rPr>
        <w:t>6.1.4.2</w:t>
      </w:r>
      <w:r w:rsidRPr="001B7093">
        <w:rPr>
          <w:rFonts w:ascii="Arial" w:eastAsia="Times New Roman" w:hAnsi="Arial" w:cs="Arial"/>
          <w:b/>
          <w:bCs/>
          <w:sz w:val="20"/>
          <w:szCs w:val="20"/>
          <w:lang w:eastAsia="pt-BR"/>
        </w:rPr>
        <w:t xml:space="preserve">. </w:t>
      </w:r>
      <w:r w:rsidRPr="001B7093">
        <w:rPr>
          <w:rFonts w:ascii="Arial" w:eastAsia="Times New Roman" w:hAnsi="Arial" w:cs="Arial"/>
          <w:bCs/>
          <w:sz w:val="20"/>
          <w:szCs w:val="20"/>
          <w:lang w:eastAsia="pt-BR"/>
        </w:rPr>
        <w:t>Emitir a autorização de compra;</w:t>
      </w:r>
    </w:p>
    <w:p w:rsidR="001B7093" w:rsidRPr="001B7093" w:rsidRDefault="001B7093" w:rsidP="001B7093">
      <w:pPr>
        <w:widowControl w:val="0"/>
        <w:spacing w:after="0" w:line="240" w:lineRule="auto"/>
        <w:jc w:val="both"/>
        <w:rPr>
          <w:rFonts w:ascii="Arial" w:eastAsia="Calibri" w:hAnsi="Arial" w:cs="Arial"/>
          <w:sz w:val="20"/>
          <w:szCs w:val="20"/>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Calibri" w:hAnsi="Arial" w:cs="Arial"/>
          <w:b/>
          <w:sz w:val="20"/>
          <w:szCs w:val="20"/>
        </w:rPr>
        <w:t>6.1.4.3</w:t>
      </w:r>
      <w:r w:rsidRPr="001B7093">
        <w:rPr>
          <w:rFonts w:ascii="Arial" w:eastAsia="Times New Roman" w:hAnsi="Arial" w:cs="Arial"/>
          <w:b/>
          <w:bCs/>
          <w:sz w:val="20"/>
          <w:szCs w:val="20"/>
          <w:lang w:eastAsia="pt-BR"/>
        </w:rPr>
        <w:t>.</w:t>
      </w:r>
      <w:r w:rsidRPr="001B7093">
        <w:rPr>
          <w:rFonts w:ascii="Arial" w:eastAsia="Calibri" w:hAnsi="Arial" w:cs="Arial"/>
          <w:sz w:val="20"/>
          <w:szCs w:val="20"/>
        </w:rPr>
        <w:t xml:space="preserve"> P</w:t>
      </w:r>
      <w:r w:rsidRPr="001B7093">
        <w:rPr>
          <w:rFonts w:ascii="Arial" w:eastAsia="Times New Roman" w:hAnsi="Arial" w:cs="Arial"/>
          <w:color w:val="000000"/>
          <w:sz w:val="20"/>
          <w:szCs w:val="20"/>
          <w:lang w:eastAsia="pt-BR"/>
        </w:rPr>
        <w:t>roceder à atualização periódica dos preços registrados, com o objetivo de verificar a oscilação de mercado e adotar uma das medidas previstas na Cláusula Quarta, se for o caso;</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Calibri" w:hAnsi="Arial" w:cs="Arial"/>
          <w:b/>
          <w:sz w:val="20"/>
          <w:szCs w:val="20"/>
        </w:rPr>
        <w:t>6.1.4.4</w:t>
      </w:r>
      <w:r w:rsidRPr="001B7093">
        <w:rPr>
          <w:rFonts w:ascii="Arial" w:eastAsia="Times New Roman" w:hAnsi="Arial" w:cs="Arial"/>
          <w:b/>
          <w:bCs/>
          <w:color w:val="000000"/>
          <w:sz w:val="20"/>
          <w:szCs w:val="20"/>
          <w:lang w:eastAsia="pt-BR"/>
        </w:rPr>
        <w:t>.</w:t>
      </w:r>
      <w:r w:rsidRPr="001B7093">
        <w:rPr>
          <w:rFonts w:ascii="Arial" w:eastAsia="Times New Roman" w:hAnsi="Arial" w:cs="Arial"/>
          <w:color w:val="000000"/>
          <w:sz w:val="20"/>
          <w:szCs w:val="20"/>
          <w:lang w:eastAsia="pt-BR"/>
        </w:rPr>
        <w:t xml:space="preserve"> Conduzir eventuais renegociações dos preços registrados;</w:t>
      </w:r>
    </w:p>
    <w:p w:rsidR="001B7093" w:rsidRPr="001B7093" w:rsidRDefault="001B7093" w:rsidP="001B7093">
      <w:pPr>
        <w:widowControl w:val="0"/>
        <w:spacing w:after="0" w:line="240" w:lineRule="auto"/>
        <w:jc w:val="both"/>
        <w:rPr>
          <w:rFonts w:ascii="Arial" w:eastAsia="Calibri" w:hAnsi="Arial" w:cs="Arial"/>
          <w:b/>
          <w:sz w:val="20"/>
          <w:szCs w:val="20"/>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Calibri" w:hAnsi="Arial" w:cs="Arial"/>
          <w:b/>
          <w:sz w:val="20"/>
          <w:szCs w:val="20"/>
        </w:rPr>
        <w:t>6.1.4.5</w:t>
      </w:r>
      <w:r w:rsidRPr="001B7093">
        <w:rPr>
          <w:rFonts w:ascii="Arial" w:eastAsia="Calibri" w:hAnsi="Arial" w:cs="Arial"/>
          <w:sz w:val="20"/>
          <w:szCs w:val="20"/>
        </w:rPr>
        <w:t xml:space="preserve">. Promover o remanejamento ou redistribuição das quantidades entre os órgãos participantes do processo licitatório, atendidas </w:t>
      </w:r>
      <w:r w:rsidRPr="001B7093">
        <w:rPr>
          <w:rFonts w:ascii="Arial" w:eastAsia="Times New Roman" w:hAnsi="Arial" w:cs="Arial"/>
          <w:bCs/>
          <w:sz w:val="20"/>
          <w:szCs w:val="20"/>
          <w:lang w:eastAsia="pt-BR"/>
        </w:rPr>
        <w:t>as condicionantes estabelecidas no art. 19 do Decreto nº 16.122/2023;</w:t>
      </w:r>
    </w:p>
    <w:p w:rsidR="001B7093" w:rsidRPr="001B7093" w:rsidRDefault="001B7093" w:rsidP="001B7093">
      <w:pPr>
        <w:widowControl w:val="0"/>
        <w:spacing w:after="0" w:line="240" w:lineRule="auto"/>
        <w:jc w:val="both"/>
        <w:rPr>
          <w:rFonts w:ascii="Arial" w:eastAsia="Calibri" w:hAnsi="Arial" w:cs="Arial"/>
          <w:sz w:val="20"/>
          <w:szCs w:val="20"/>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Calibri" w:hAnsi="Arial" w:cs="Arial"/>
          <w:b/>
          <w:sz w:val="20"/>
          <w:szCs w:val="20"/>
        </w:rPr>
        <w:t>6.1.4.6</w:t>
      </w:r>
      <w:r w:rsidRPr="001B7093">
        <w:rPr>
          <w:rFonts w:ascii="Arial" w:eastAsia="Times New Roman" w:hAnsi="Arial" w:cs="Arial"/>
          <w:bCs/>
          <w:sz w:val="20"/>
          <w:szCs w:val="20"/>
          <w:lang w:eastAsia="pt-BR"/>
        </w:rPr>
        <w:t>.</w:t>
      </w:r>
      <w:r w:rsidRPr="001B7093">
        <w:rPr>
          <w:rFonts w:ascii="Arial" w:eastAsia="Calibri" w:hAnsi="Arial" w:cs="Arial"/>
          <w:sz w:val="20"/>
          <w:szCs w:val="20"/>
        </w:rPr>
        <w:t xml:space="preserve"> Prorrogar </w:t>
      </w:r>
      <w:r w:rsidRPr="001B7093">
        <w:rPr>
          <w:rFonts w:ascii="Arial" w:eastAsia="Times New Roman" w:hAnsi="Arial" w:cs="Arial"/>
          <w:bCs/>
          <w:sz w:val="20"/>
          <w:szCs w:val="20"/>
          <w:lang w:eastAsia="pt-BR"/>
        </w:rPr>
        <w:t>a vigência da ARP, se for o caso, desde que observadas as condicionantes estabelecidas no art. 17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Calibri" w:hAnsi="Arial" w:cs="Arial"/>
          <w:b/>
          <w:sz w:val="20"/>
          <w:szCs w:val="20"/>
        </w:rPr>
        <w:t>6.1.4.7</w:t>
      </w:r>
      <w:r w:rsidRPr="001B7093">
        <w:rPr>
          <w:rFonts w:ascii="Arial" w:eastAsia="Times New Roman" w:hAnsi="Arial" w:cs="Arial"/>
          <w:bCs/>
          <w:sz w:val="20"/>
          <w:szCs w:val="20"/>
          <w:lang w:eastAsia="pt-BR"/>
        </w:rPr>
        <w:t>.</w:t>
      </w:r>
      <w:r w:rsidRPr="001B7093">
        <w:rPr>
          <w:rFonts w:ascii="Calibri" w:eastAsia="Calibri" w:hAnsi="Calibri" w:cs="Times New Roman"/>
        </w:rPr>
        <w:t xml:space="preserve"> </w:t>
      </w:r>
      <w:r w:rsidRPr="001B7093">
        <w:rPr>
          <w:rFonts w:ascii="Arial" w:eastAsia="Times New Roman" w:hAnsi="Arial" w:cs="Arial"/>
          <w:bCs/>
          <w:sz w:val="20"/>
          <w:szCs w:val="20"/>
          <w:lang w:eastAsia="pt-BR"/>
        </w:rPr>
        <w:t>Aceitar, se for o caso, que o detentor da ARP substitua o produto por outro de marca ou de modelo diferente daquele registrado nesta ata, por comprovado motivo ou por fato superveniente à licitação e desde que o novo produto possua, comprovadamente, desempenho e qualidade iguais ou superiores, não podendo haver majoração do preço registrado (art. 25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Calibri" w:hAnsi="Arial" w:cs="Arial"/>
          <w:b/>
          <w:sz w:val="20"/>
          <w:szCs w:val="20"/>
        </w:rPr>
        <w:t>6.1.4.8</w:t>
      </w:r>
      <w:r w:rsidRPr="001B7093">
        <w:rPr>
          <w:rFonts w:ascii="Arial" w:eastAsia="Calibri" w:hAnsi="Arial" w:cs="Arial"/>
          <w:sz w:val="20"/>
          <w:szCs w:val="20"/>
        </w:rPr>
        <w:t>. Receber a “</w:t>
      </w:r>
      <w:r w:rsidRPr="001B7093">
        <w:rPr>
          <w:rFonts w:ascii="Arial" w:eastAsia="Calibri" w:hAnsi="Arial" w:cs="Arial"/>
          <w:i/>
          <w:sz w:val="20"/>
          <w:szCs w:val="20"/>
        </w:rPr>
        <w:t>solicitação de adesão</w:t>
      </w:r>
      <w:r w:rsidRPr="001B7093">
        <w:rPr>
          <w:rFonts w:ascii="Arial" w:eastAsia="Calibri" w:hAnsi="Arial" w:cs="Arial"/>
          <w:sz w:val="20"/>
          <w:szCs w:val="20"/>
        </w:rPr>
        <w:t>” e autorizar, se for o caso, o pedido de adesão à ARP formulado pelos órgãos e as entidades não participantes, por meio do “</w:t>
      </w:r>
      <w:r w:rsidRPr="001B7093">
        <w:rPr>
          <w:rFonts w:ascii="Arial" w:eastAsia="Calibri" w:hAnsi="Arial" w:cs="Arial"/>
          <w:i/>
          <w:sz w:val="20"/>
          <w:szCs w:val="20"/>
        </w:rPr>
        <w:t>termo de adesão</w:t>
      </w:r>
      <w:r w:rsidRPr="001B7093">
        <w:rPr>
          <w:rFonts w:ascii="Arial" w:eastAsia="Calibri" w:hAnsi="Arial" w:cs="Arial"/>
          <w:sz w:val="20"/>
          <w:szCs w:val="20"/>
        </w:rPr>
        <w:t>”.</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6.1.5</w:t>
      </w:r>
      <w:r w:rsidRPr="001B7093">
        <w:rPr>
          <w:rFonts w:ascii="Arial" w:eastAsia="Times New Roman" w:hAnsi="Arial" w:cs="Arial"/>
          <w:bCs/>
          <w:sz w:val="20"/>
          <w:szCs w:val="20"/>
          <w:lang w:eastAsia="pt-BR"/>
        </w:rPr>
        <w:t>. Promover o cancelamento do preço registrado ou da própria ARP, total ou parcialmente, quando presentes as situações previstas na Cláusula Sétima desta Ata.</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6.1.6.</w:t>
      </w:r>
      <w:r w:rsidRPr="001B7093">
        <w:rPr>
          <w:rFonts w:ascii="Arial" w:eastAsia="Times New Roman" w:hAnsi="Arial" w:cs="Arial"/>
          <w:bCs/>
          <w:sz w:val="20"/>
          <w:szCs w:val="20"/>
          <w:lang w:eastAsia="pt-BR"/>
        </w:rPr>
        <w:t xml:space="preserve"> </w:t>
      </w:r>
      <w:r w:rsidRPr="001B7093">
        <w:rPr>
          <w:rFonts w:ascii="Arial" w:eastAsia="Calibri" w:hAnsi="Arial" w:cs="Arial"/>
          <w:color w:val="000000"/>
          <w:sz w:val="20"/>
          <w:szCs w:val="20"/>
        </w:rPr>
        <w:t>Explicitamente emitir decisão sobre todas as solicitações e reclamações feitas pelos detentores da ARP, relacionadas ao gerenciamento da ata, ressalvados os requerimentos manifestamente impertinentes, meramente protelatórios ou de nenhum interesse para a boa execução do ajuste;</w:t>
      </w:r>
    </w:p>
    <w:p w:rsidR="001B7093" w:rsidRPr="001B7093" w:rsidRDefault="001B7093" w:rsidP="001B7093">
      <w:pPr>
        <w:spacing w:after="0" w:line="276" w:lineRule="auto"/>
        <w:jc w:val="both"/>
        <w:rPr>
          <w:rFonts w:ascii="Arial" w:eastAsia="Calibri" w:hAnsi="Arial" w:cs="Arial"/>
          <w:color w:val="000000"/>
          <w:sz w:val="20"/>
          <w:szCs w:val="20"/>
        </w:rPr>
      </w:pPr>
    </w:p>
    <w:p w:rsidR="001B7093" w:rsidRPr="001B7093" w:rsidRDefault="001B7093" w:rsidP="001B7093">
      <w:pPr>
        <w:spacing w:after="0" w:line="276" w:lineRule="auto"/>
        <w:jc w:val="both"/>
        <w:rPr>
          <w:rFonts w:ascii="Arial" w:eastAsia="Calibri" w:hAnsi="Arial" w:cs="Arial"/>
          <w:color w:val="000000"/>
          <w:sz w:val="20"/>
          <w:szCs w:val="20"/>
        </w:rPr>
      </w:pPr>
      <w:r w:rsidRPr="001B7093">
        <w:rPr>
          <w:rFonts w:ascii="Arial" w:eastAsia="Calibri" w:hAnsi="Arial" w:cs="Arial"/>
          <w:b/>
          <w:color w:val="000000"/>
          <w:sz w:val="20"/>
          <w:szCs w:val="20"/>
        </w:rPr>
        <w:t>6.1.6.1</w:t>
      </w:r>
      <w:r w:rsidRPr="001B7093">
        <w:rPr>
          <w:rFonts w:ascii="Arial" w:eastAsia="Calibri" w:hAnsi="Arial" w:cs="Arial"/>
          <w:color w:val="000000"/>
          <w:sz w:val="20"/>
          <w:szCs w:val="20"/>
        </w:rPr>
        <w:t>. Com relação à obrigação delineada no subitem 6.1.6, o Órgão Gerenciador terá o prazo de (...), a contar da data do protocolo do requerimento, para decidir todas as solicitações e reclamações relacionadas à execução dos contratos regidos pela Lei nº 14.133, de 2021, admitida a prorrogação motivada, por igual período.</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
          <w:bCs/>
          <w:sz w:val="20"/>
          <w:szCs w:val="20"/>
          <w:lang w:eastAsia="pt-BR"/>
        </w:rPr>
      </w:pPr>
      <w:r w:rsidRPr="001B7093">
        <w:rPr>
          <w:rFonts w:ascii="Arial" w:eastAsia="Times New Roman" w:hAnsi="Arial" w:cs="Arial"/>
          <w:b/>
          <w:bCs/>
          <w:sz w:val="20"/>
          <w:szCs w:val="20"/>
          <w:lang w:eastAsia="pt-BR"/>
        </w:rPr>
        <w:t>6.2. São obrigações dos ÓRGÃOS E ENTIDADES PARTICIPANTES da ata:</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6.2.1. </w:t>
      </w:r>
      <w:r w:rsidRPr="001B7093">
        <w:rPr>
          <w:rFonts w:ascii="Arial" w:eastAsia="Times New Roman" w:hAnsi="Arial" w:cs="Arial"/>
          <w:bCs/>
          <w:sz w:val="20"/>
          <w:szCs w:val="20"/>
          <w:lang w:eastAsia="pt-BR"/>
        </w:rPr>
        <w:t>Solicitar o uso da ARP ao órgão gerenciador, que indicará o fornecedor e os preços que serão praticados, obedecida à ordem de classificação.</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6.2.2. </w:t>
      </w:r>
      <w:r w:rsidRPr="001B7093">
        <w:rPr>
          <w:rFonts w:ascii="Arial" w:eastAsia="Times New Roman" w:hAnsi="Arial" w:cs="Arial"/>
          <w:bCs/>
          <w:sz w:val="20"/>
          <w:szCs w:val="20"/>
          <w:lang w:eastAsia="pt-BR"/>
        </w:rPr>
        <w:t>Realizar todos os atos voltados à execução financeira, inclusive os relacionados à prestação de contas.</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6.2.3. </w:t>
      </w:r>
      <w:r w:rsidRPr="001B7093">
        <w:rPr>
          <w:rFonts w:ascii="Arial" w:eastAsia="Times New Roman" w:hAnsi="Arial" w:cs="Arial"/>
          <w:bCs/>
          <w:sz w:val="20"/>
          <w:szCs w:val="20"/>
          <w:lang w:eastAsia="pt-BR"/>
        </w:rPr>
        <w:t xml:space="preserve"> Requisitar a autorização e o empenho da despesa correspondente aos pedidos de fornecimento ou de contratação, dentro do prazo de vigência da ARP.</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6.2.4. </w:t>
      </w:r>
      <w:r w:rsidRPr="001B7093">
        <w:rPr>
          <w:rFonts w:ascii="Arial" w:eastAsia="Times New Roman" w:hAnsi="Arial" w:cs="Arial"/>
          <w:bCs/>
          <w:sz w:val="20"/>
          <w:szCs w:val="20"/>
          <w:lang w:eastAsia="pt-BR"/>
        </w:rPr>
        <w:t>Formalizar a contratação decorrente da ARP.</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6.2.5. </w:t>
      </w:r>
      <w:r w:rsidRPr="001B7093">
        <w:rPr>
          <w:rFonts w:ascii="Arial" w:eastAsia="Times New Roman" w:hAnsi="Arial" w:cs="Arial"/>
          <w:bCs/>
          <w:sz w:val="20"/>
          <w:szCs w:val="20"/>
          <w:lang w:eastAsia="pt-BR"/>
        </w:rPr>
        <w:t>Controlar os atendimentos de suas demandas por ARP, abrir processo administrativo para juntada de suas solicitações, ordens de utilização deferidas, notas de empenho e notas fiscais emitidas, faturas recebidas e pagas.</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6.2.6. </w:t>
      </w:r>
      <w:r w:rsidRPr="001B7093">
        <w:rPr>
          <w:rFonts w:ascii="Arial" w:eastAsia="Times New Roman" w:hAnsi="Arial" w:cs="Arial"/>
          <w:bCs/>
          <w:sz w:val="20"/>
          <w:szCs w:val="20"/>
          <w:lang w:eastAsia="pt-BR"/>
        </w:rPr>
        <w:t>Observar as atividades de gestão e de fiscalização de contratos administrativos disciplinadas no Decreto Estadual nº 15.938, de 26 de maio de 2022.</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 xml:space="preserve">6.2.7. </w:t>
      </w:r>
      <w:r w:rsidRPr="001B7093">
        <w:rPr>
          <w:rFonts w:ascii="Arial" w:eastAsia="Times New Roman" w:hAnsi="Arial" w:cs="Arial"/>
          <w:bCs/>
          <w:sz w:val="20"/>
          <w:szCs w:val="20"/>
          <w:lang w:eastAsia="pt-BR"/>
        </w:rPr>
        <w:t xml:space="preserve"> Instaurar, no âmbito de suas contratações, procedimento administrativo, em que seja assegurada a ampla defesa e o contraditório, para fins de aplicação de penalidades decorrentes do descumprimento do pactuado na ARP ou do descumprimento das obrigações contratuais, informando as ocorrências ao órgão gerenciador.</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6.2.8</w:t>
      </w:r>
      <w:r w:rsidRPr="001B7093">
        <w:rPr>
          <w:rFonts w:ascii="Arial" w:eastAsia="Times New Roman" w:hAnsi="Arial" w:cs="Arial"/>
          <w:bCs/>
          <w:sz w:val="20"/>
          <w:szCs w:val="20"/>
          <w:lang w:eastAsia="pt-BR"/>
        </w:rPr>
        <w:t xml:space="preserve">. Não participar em mais de uma ata de registro de preços com o mesmo objeto no prazo de validade desta ata, salvo na ocorrência de registro de quantitativo inferior ao máximo previsto no edital (inciso VIII do art. 82 da Lei Federal nº 14.133/2021). </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
          <w:bCs/>
          <w:sz w:val="20"/>
          <w:szCs w:val="20"/>
          <w:lang w:eastAsia="pt-BR"/>
        </w:rPr>
      </w:pPr>
      <w:r w:rsidRPr="001B7093">
        <w:rPr>
          <w:rFonts w:ascii="Arial" w:eastAsia="Times New Roman" w:hAnsi="Arial" w:cs="Arial"/>
          <w:b/>
          <w:bCs/>
          <w:sz w:val="20"/>
          <w:szCs w:val="20"/>
          <w:lang w:eastAsia="pt-BR"/>
        </w:rPr>
        <w:t>6.3. São obrigações do DETENTOR DA ARP:</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6.3.1.</w:t>
      </w:r>
      <w:r w:rsidRPr="001B7093">
        <w:rPr>
          <w:rFonts w:ascii="Arial" w:eastAsia="Times New Roman" w:hAnsi="Arial" w:cs="Arial"/>
          <w:bCs/>
          <w:sz w:val="20"/>
          <w:szCs w:val="20"/>
          <w:lang w:eastAsia="pt-BR"/>
        </w:rPr>
        <w:t xml:space="preserve"> Manter, durante a vigência do registro de preços, a compatibilidade de todas as obrigações assumidas e as condições de habilitação e qualificação exigidas na licitação.</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6.3.2</w:t>
      </w:r>
      <w:r w:rsidRPr="001B7093">
        <w:rPr>
          <w:rFonts w:ascii="Arial" w:eastAsia="Times New Roman" w:hAnsi="Arial" w:cs="Arial"/>
          <w:bCs/>
          <w:sz w:val="20"/>
          <w:szCs w:val="20"/>
          <w:lang w:eastAsia="pt-BR"/>
        </w:rPr>
        <w:t xml:space="preserve">. Responder </w:t>
      </w:r>
      <w:r w:rsidRPr="001B7093">
        <w:rPr>
          <w:rFonts w:ascii="Arial" w:eastAsia="Times New Roman" w:hAnsi="Arial" w:cs="Arial"/>
          <w:bCs/>
          <w:color w:val="FF0000"/>
          <w:sz w:val="20"/>
          <w:szCs w:val="20"/>
          <w:highlight w:val="yellow"/>
          <w:lang w:eastAsia="pt-BR"/>
        </w:rPr>
        <w:t>no prazo de (</w:t>
      </w:r>
      <w:proofErr w:type="spellStart"/>
      <w:r w:rsidRPr="001B7093">
        <w:rPr>
          <w:rFonts w:ascii="Arial" w:eastAsia="Times New Roman" w:hAnsi="Arial" w:cs="Arial"/>
          <w:bCs/>
          <w:color w:val="FF0000"/>
          <w:sz w:val="20"/>
          <w:szCs w:val="20"/>
          <w:highlight w:val="yellow"/>
          <w:lang w:eastAsia="pt-BR"/>
        </w:rPr>
        <w:t>xxx</w:t>
      </w:r>
      <w:proofErr w:type="spellEnd"/>
      <w:r w:rsidRPr="001B7093">
        <w:rPr>
          <w:rFonts w:ascii="Arial" w:eastAsia="Times New Roman" w:hAnsi="Arial" w:cs="Arial"/>
          <w:bCs/>
          <w:color w:val="FF0000"/>
          <w:sz w:val="20"/>
          <w:szCs w:val="20"/>
          <w:highlight w:val="yellow"/>
          <w:lang w:eastAsia="pt-BR"/>
        </w:rPr>
        <w:t>) dias</w:t>
      </w:r>
      <w:r w:rsidRPr="001B7093">
        <w:rPr>
          <w:rFonts w:ascii="Arial" w:eastAsia="Times New Roman" w:hAnsi="Arial" w:cs="Arial"/>
          <w:bCs/>
          <w:color w:val="FF0000"/>
          <w:sz w:val="20"/>
          <w:szCs w:val="20"/>
          <w:lang w:eastAsia="pt-BR"/>
        </w:rPr>
        <w:t xml:space="preserve"> </w:t>
      </w:r>
      <w:r w:rsidRPr="001B7093">
        <w:rPr>
          <w:rFonts w:ascii="Arial" w:eastAsia="Times New Roman" w:hAnsi="Arial" w:cs="Arial"/>
          <w:bCs/>
          <w:sz w:val="20"/>
          <w:szCs w:val="20"/>
          <w:lang w:eastAsia="pt-BR"/>
        </w:rPr>
        <w:t>as solicitações, pedidos, informações, etc., feitas pelo Órgão Gerenciador e pelos Órgãos e Entidades participantes.</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6.3.3</w:t>
      </w:r>
      <w:r w:rsidRPr="001B7093">
        <w:rPr>
          <w:rFonts w:ascii="Arial" w:eastAsia="Times New Roman" w:hAnsi="Arial" w:cs="Arial"/>
          <w:bCs/>
          <w:sz w:val="20"/>
          <w:szCs w:val="20"/>
          <w:lang w:eastAsia="pt-BR"/>
        </w:rPr>
        <w:t>. Na hipótese de</w:t>
      </w:r>
      <w:r w:rsidRPr="001B7093">
        <w:rPr>
          <w:rFonts w:ascii="Tahoma" w:eastAsia="Calibri" w:hAnsi="Tahoma" w:cs="Tahoma"/>
          <w:color w:val="000000"/>
          <w:sz w:val="20"/>
          <w:szCs w:val="20"/>
          <w:shd w:val="clear" w:color="auto" w:fill="FFFFFF"/>
        </w:rPr>
        <w:t xml:space="preserve"> o preço do mercado se tornar superior aos preços registrados, comunicar e comprovar, antes do pedido de fornecimento realizado pelos órgãos e entidades participantes, a impossibilidade de cumprimento do compromisso inicialmente assumido </w:t>
      </w:r>
      <w:r w:rsidRPr="001B7093">
        <w:rPr>
          <w:rFonts w:ascii="Arial" w:eastAsia="Times New Roman" w:hAnsi="Arial" w:cs="Arial"/>
          <w:bCs/>
          <w:sz w:val="20"/>
          <w:szCs w:val="20"/>
          <w:lang w:eastAsia="pt-BR"/>
        </w:rPr>
        <w:t>(art. 22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6.3.3</w:t>
      </w:r>
      <w:r w:rsidRPr="001B7093">
        <w:rPr>
          <w:rFonts w:ascii="Arial" w:eastAsia="Times New Roman" w:hAnsi="Arial" w:cs="Arial"/>
          <w:bCs/>
          <w:sz w:val="20"/>
          <w:szCs w:val="20"/>
          <w:lang w:eastAsia="pt-BR"/>
        </w:rPr>
        <w:t xml:space="preserve">. Na hipótese de solicitação de revisão de preço, comprovar que a elevação seja decorrente de evento posterior à assinatura da ARP, </w:t>
      </w:r>
      <w:r w:rsidRPr="001B7093">
        <w:rPr>
          <w:rFonts w:ascii="Tahoma" w:eastAsia="Calibri" w:hAnsi="Tahoma" w:cs="Tahoma"/>
          <w:color w:val="000000"/>
          <w:sz w:val="20"/>
          <w:szCs w:val="20"/>
          <w:shd w:val="clear" w:color="auto" w:fill="FFFFFF"/>
        </w:rPr>
        <w:t xml:space="preserve">absolutamente independente da vontade das partes e proveniente de fatos imprevisíveis ou previsíveis de consequências incalculáveis que inviabilizem a manutenção dos preços </w:t>
      </w:r>
      <w:r w:rsidRPr="001B7093">
        <w:rPr>
          <w:rFonts w:ascii="Arial" w:eastAsia="Times New Roman" w:hAnsi="Arial" w:cs="Arial"/>
          <w:bCs/>
          <w:sz w:val="20"/>
          <w:szCs w:val="20"/>
          <w:lang w:eastAsia="pt-BR"/>
        </w:rPr>
        <w:t>(art. 22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6.3.4.</w:t>
      </w:r>
      <w:r w:rsidRPr="001B7093">
        <w:rPr>
          <w:rFonts w:ascii="Arial" w:eastAsia="Times New Roman" w:hAnsi="Arial" w:cs="Arial"/>
          <w:bCs/>
          <w:sz w:val="20"/>
          <w:szCs w:val="20"/>
          <w:lang w:eastAsia="pt-BR"/>
        </w:rPr>
        <w:t xml:space="preserve"> Na hipótese de solicitar a substituição do produto por outro de marca ou de modelo diferente daquele registrado na ARP, comprovar o motivo ou o fato superveniente à licitação, e desde que o novo produto possua, comprovadamente, desempenho e qualidade iguais ou superiores, não podendo haver majoração do preço registrado. (</w:t>
      </w:r>
      <w:proofErr w:type="gramStart"/>
      <w:r w:rsidRPr="001B7093">
        <w:rPr>
          <w:rFonts w:ascii="Arial" w:eastAsia="Times New Roman" w:hAnsi="Arial" w:cs="Arial"/>
          <w:bCs/>
          <w:sz w:val="20"/>
          <w:szCs w:val="20"/>
          <w:lang w:eastAsia="pt-BR"/>
        </w:rPr>
        <w:t>art.</w:t>
      </w:r>
      <w:proofErr w:type="gramEnd"/>
      <w:r w:rsidRPr="001B7093">
        <w:rPr>
          <w:rFonts w:ascii="Arial" w:eastAsia="Times New Roman" w:hAnsi="Arial" w:cs="Arial"/>
          <w:bCs/>
          <w:sz w:val="20"/>
          <w:szCs w:val="20"/>
          <w:lang w:eastAsia="pt-BR"/>
        </w:rPr>
        <w:t xml:space="preserve"> 25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6.3.5</w:t>
      </w:r>
      <w:r w:rsidRPr="001B7093">
        <w:rPr>
          <w:rFonts w:ascii="Arial" w:eastAsia="Times New Roman" w:hAnsi="Arial" w:cs="Arial"/>
          <w:bCs/>
          <w:sz w:val="20"/>
          <w:szCs w:val="20"/>
          <w:lang w:eastAsia="pt-BR"/>
        </w:rPr>
        <w:t xml:space="preserve">. Na hipótese de solicitar o cancelamento do item registrado, comprovar o </w:t>
      </w:r>
      <w:r w:rsidRPr="001B7093">
        <w:rPr>
          <w:rFonts w:ascii="Tahoma" w:eastAsia="Calibri" w:hAnsi="Tahoma" w:cs="Tahoma"/>
          <w:color w:val="000000"/>
          <w:sz w:val="20"/>
          <w:szCs w:val="20"/>
          <w:shd w:val="clear" w:color="auto" w:fill="FFFFFF"/>
        </w:rPr>
        <w:t xml:space="preserve">fato superveniente </w:t>
      </w:r>
      <w:r w:rsidRPr="001B7093">
        <w:rPr>
          <w:rFonts w:ascii="Arial" w:eastAsia="Times New Roman" w:hAnsi="Arial" w:cs="Arial"/>
          <w:bCs/>
          <w:sz w:val="20"/>
          <w:szCs w:val="20"/>
          <w:lang w:eastAsia="pt-BR"/>
        </w:rPr>
        <w:t>à assinatura da ARP</w:t>
      </w:r>
      <w:r w:rsidRPr="001B7093">
        <w:rPr>
          <w:rFonts w:ascii="Tahoma" w:eastAsia="Calibri" w:hAnsi="Tahoma" w:cs="Tahoma"/>
          <w:color w:val="000000"/>
          <w:sz w:val="20"/>
          <w:szCs w:val="20"/>
          <w:shd w:val="clear" w:color="auto" w:fill="FFFFFF"/>
        </w:rPr>
        <w:t xml:space="preserve">, decorrente de caso de força maior, caso fortuito ou fato do príncipe ou em decorrência de fatos imprevisíveis ou previsíveis de consequências incalculáveis, que inviabilizem a execução das obrigações previstas na ARP </w:t>
      </w:r>
      <w:r w:rsidRPr="001B7093">
        <w:rPr>
          <w:rFonts w:ascii="Arial" w:eastAsia="Times New Roman" w:hAnsi="Arial" w:cs="Arial"/>
          <w:bCs/>
          <w:sz w:val="20"/>
          <w:szCs w:val="20"/>
          <w:lang w:eastAsia="pt-BR"/>
        </w:rPr>
        <w:t>(art. 27 do Decreto nº 16.122/2023).</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spacing w:after="0" w:line="276" w:lineRule="auto"/>
        <w:jc w:val="both"/>
        <w:rPr>
          <w:rFonts w:ascii="Arial" w:eastAsia="Calibri" w:hAnsi="Arial" w:cs="Arial"/>
          <w:color w:val="000000"/>
          <w:sz w:val="20"/>
          <w:szCs w:val="20"/>
        </w:rPr>
      </w:pPr>
      <w:r w:rsidRPr="001B7093">
        <w:rPr>
          <w:rFonts w:ascii="Arial" w:eastAsia="Times New Roman" w:hAnsi="Arial" w:cs="Arial"/>
          <w:b/>
          <w:bCs/>
          <w:sz w:val="20"/>
          <w:szCs w:val="20"/>
          <w:lang w:eastAsia="pt-BR"/>
        </w:rPr>
        <w:t>6.4</w:t>
      </w:r>
      <w:r w:rsidRPr="001B7093">
        <w:rPr>
          <w:rFonts w:ascii="Arial" w:eastAsia="Times New Roman" w:hAnsi="Arial" w:cs="Arial"/>
          <w:bCs/>
          <w:sz w:val="20"/>
          <w:szCs w:val="20"/>
          <w:lang w:eastAsia="pt-BR"/>
        </w:rPr>
        <w:t>. Celebrado o contrato em decorrência da ARP, os órgãos e entidades participantes passam a ser designados como “Contratantes” e o detentor da ata como “Contratado”, observadas as obrigações fixadas no Termo de Referência para cada um deles.</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bCs/>
          <w:sz w:val="20"/>
          <w:szCs w:val="20"/>
          <w:lang w:eastAsia="pt-BR"/>
        </w:rPr>
        <w:t>6.5</w:t>
      </w:r>
      <w:r w:rsidRPr="001B7093">
        <w:rPr>
          <w:rFonts w:ascii="Arial" w:eastAsia="Times New Roman" w:hAnsi="Arial" w:cs="Arial"/>
          <w:bCs/>
          <w:sz w:val="20"/>
          <w:szCs w:val="20"/>
          <w:lang w:eastAsia="pt-BR"/>
        </w:rPr>
        <w:t>. A existência de preços registrados implicará compromisso de fornecimento nas condições estabelecidas no Termo de Referência, mas não obrigará os órgãos e entidades participantes a contratar, facultada a realização de licitação específica para a aquisição pretendida, desde que devidamente motivada.</w:t>
      </w:r>
    </w:p>
    <w:p w:rsidR="001B7093" w:rsidRPr="001B7093" w:rsidRDefault="001B7093" w:rsidP="001B7093">
      <w:pPr>
        <w:widowControl w:val="0"/>
        <w:spacing w:after="0" w:line="240" w:lineRule="auto"/>
        <w:jc w:val="both"/>
        <w:rPr>
          <w:rFonts w:ascii="Arial" w:eastAsia="Times New Roman" w:hAnsi="Arial" w:cs="Arial"/>
          <w:bCs/>
          <w:sz w:val="20"/>
          <w:szCs w:val="20"/>
          <w:lang w:eastAsia="pt-BR"/>
        </w:rPr>
      </w:pP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bCs/>
          <w:caps/>
          <w:color w:val="FFFFFF"/>
          <w:lang w:eastAsia="pt-BR"/>
        </w:rPr>
      </w:pPr>
      <w:r w:rsidRPr="001B7093">
        <w:rPr>
          <w:rFonts w:ascii="Arial" w:eastAsia="Times New Roman" w:hAnsi="Arial" w:cs="Times New Roman"/>
          <w:b/>
          <w:bCs/>
          <w:caps/>
          <w:color w:val="FFFFFF"/>
          <w:lang w:eastAsia="pt-BR"/>
        </w:rPr>
        <w:t>CLÁUSULA SÉTIMA – CANCELAMENTO DOS PREÇOS REGISTRADOS E DA ATA</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7.1</w:t>
      </w:r>
      <w:r w:rsidRPr="001B7093">
        <w:rPr>
          <w:rFonts w:ascii="Arial" w:eastAsia="Times New Roman" w:hAnsi="Arial" w:cs="Arial"/>
          <w:sz w:val="20"/>
          <w:szCs w:val="20"/>
          <w:lang w:eastAsia="pt-BR"/>
        </w:rPr>
        <w:t>. O órgão gerenciador deverá cancelar o PREÇO REGISTRADO do detentor da ata quando este:</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for</w:t>
      </w:r>
      <w:proofErr w:type="gramEnd"/>
      <w:r w:rsidRPr="001B7093">
        <w:rPr>
          <w:rFonts w:ascii="Arial" w:eastAsia="Times New Roman" w:hAnsi="Arial" w:cs="Arial"/>
          <w:sz w:val="20"/>
          <w:szCs w:val="20"/>
          <w:lang w:eastAsia="pt-BR"/>
        </w:rPr>
        <w:t xml:space="preserve"> liberado nas hipóteses previstas no inciso II do subitem 4.3 e no inciso I do subitem 4.4.</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descumprir</w:t>
      </w:r>
      <w:proofErr w:type="gramEnd"/>
      <w:r w:rsidRPr="001B7093">
        <w:rPr>
          <w:rFonts w:ascii="Arial" w:eastAsia="Times New Roman" w:hAnsi="Arial" w:cs="Arial"/>
          <w:sz w:val="20"/>
          <w:szCs w:val="20"/>
          <w:lang w:eastAsia="pt-BR"/>
        </w:rPr>
        <w:t xml:space="preserve"> as condições da ARP, sem justificativa aceitável;</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III – não aceitar reduzir o seu preço registrado, na hipótese deste se tornar superior àqueles praticados no mercado (subitem 4.2);</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IV – </w:t>
      </w:r>
      <w:proofErr w:type="gramStart"/>
      <w:r w:rsidRPr="001B7093">
        <w:rPr>
          <w:rFonts w:ascii="Arial" w:eastAsia="Times New Roman" w:hAnsi="Arial" w:cs="Arial"/>
          <w:sz w:val="20"/>
          <w:szCs w:val="20"/>
          <w:lang w:eastAsia="pt-BR"/>
        </w:rPr>
        <w:t>não</w:t>
      </w:r>
      <w:proofErr w:type="gramEnd"/>
      <w:r w:rsidRPr="001B7093">
        <w:rPr>
          <w:rFonts w:ascii="Arial" w:eastAsia="Times New Roman" w:hAnsi="Arial" w:cs="Arial"/>
          <w:sz w:val="20"/>
          <w:szCs w:val="20"/>
          <w:lang w:eastAsia="pt-BR"/>
        </w:rPr>
        <w:t xml:space="preserve"> aceitar o preço revisado pelo órgão gerenciador;</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V – </w:t>
      </w:r>
      <w:proofErr w:type="gramStart"/>
      <w:r w:rsidRPr="001B7093">
        <w:rPr>
          <w:rFonts w:ascii="Arial" w:eastAsia="Times New Roman" w:hAnsi="Arial" w:cs="Arial"/>
          <w:sz w:val="20"/>
          <w:szCs w:val="20"/>
          <w:lang w:eastAsia="pt-BR"/>
        </w:rPr>
        <w:t>sofrer</w:t>
      </w:r>
      <w:proofErr w:type="gramEnd"/>
      <w:r w:rsidRPr="001B7093">
        <w:rPr>
          <w:rFonts w:ascii="Arial" w:eastAsia="Times New Roman" w:hAnsi="Arial" w:cs="Arial"/>
          <w:sz w:val="20"/>
          <w:szCs w:val="20"/>
          <w:lang w:eastAsia="pt-BR"/>
        </w:rPr>
        <w:t xml:space="preserve"> a sanção prevista no inciso IV do art. 156 da Lei Federal nº 14.133, de 2021.</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7.2.</w:t>
      </w:r>
      <w:r w:rsidRPr="001B7093">
        <w:rPr>
          <w:rFonts w:ascii="Arial" w:eastAsia="Times New Roman" w:hAnsi="Arial" w:cs="Arial"/>
          <w:sz w:val="20"/>
          <w:szCs w:val="20"/>
          <w:lang w:eastAsia="pt-BR"/>
        </w:rPr>
        <w:t xml:space="preserve"> A ATA DE REGISTRO DE PREÇO será cancelada, total ou parcialmente, pelo órgão gerenciador:</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pelo</w:t>
      </w:r>
      <w:proofErr w:type="gramEnd"/>
      <w:r w:rsidRPr="001B7093">
        <w:rPr>
          <w:rFonts w:ascii="Arial" w:eastAsia="Times New Roman" w:hAnsi="Arial" w:cs="Arial"/>
          <w:sz w:val="20"/>
          <w:szCs w:val="20"/>
          <w:lang w:eastAsia="pt-BR"/>
        </w:rPr>
        <w:t xml:space="preserve"> decurso do prazo de vigência ou quando não restarem detentores da ARP e aderentes de preço;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pelo</w:t>
      </w:r>
      <w:proofErr w:type="gramEnd"/>
      <w:r w:rsidRPr="001B7093">
        <w:rPr>
          <w:rFonts w:ascii="Arial" w:eastAsia="Times New Roman" w:hAnsi="Arial" w:cs="Arial"/>
          <w:sz w:val="20"/>
          <w:szCs w:val="20"/>
          <w:lang w:eastAsia="pt-BR"/>
        </w:rPr>
        <w:t xml:space="preserve"> cancelamento de todos os preços registrados;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III – em razão da utilização total dos itens da ARP, salvo na hipótese de sua prorrogação;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IV – </w:t>
      </w:r>
      <w:proofErr w:type="gramStart"/>
      <w:r w:rsidRPr="001B7093">
        <w:rPr>
          <w:rFonts w:ascii="Arial" w:eastAsia="Times New Roman" w:hAnsi="Arial" w:cs="Arial"/>
          <w:sz w:val="20"/>
          <w:szCs w:val="20"/>
          <w:lang w:eastAsia="pt-BR"/>
        </w:rPr>
        <w:t>por</w:t>
      </w:r>
      <w:proofErr w:type="gramEnd"/>
      <w:r w:rsidRPr="001B7093">
        <w:rPr>
          <w:rFonts w:ascii="Arial" w:eastAsia="Times New Roman" w:hAnsi="Arial" w:cs="Arial"/>
          <w:sz w:val="20"/>
          <w:szCs w:val="20"/>
          <w:lang w:eastAsia="pt-BR"/>
        </w:rPr>
        <w:t xml:space="preserve"> fato superveniente, decorrente de caso de força maior, caso fortuito ou fato do príncipe ou em decorrência de fatos imprevisíveis ou previsíveis de consequências incalculáveis, que inviabilizem a execução das obrigações previstas na ARP;</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V – </w:t>
      </w:r>
      <w:proofErr w:type="gramStart"/>
      <w:r w:rsidRPr="001B7093">
        <w:rPr>
          <w:rFonts w:ascii="Arial" w:eastAsia="Times New Roman" w:hAnsi="Arial" w:cs="Arial"/>
          <w:sz w:val="20"/>
          <w:szCs w:val="20"/>
          <w:lang w:eastAsia="pt-BR"/>
        </w:rPr>
        <w:t>por</w:t>
      </w:r>
      <w:proofErr w:type="gramEnd"/>
      <w:r w:rsidRPr="001B7093">
        <w:rPr>
          <w:rFonts w:ascii="Arial" w:eastAsia="Times New Roman" w:hAnsi="Arial" w:cs="Arial"/>
          <w:sz w:val="20"/>
          <w:szCs w:val="20"/>
          <w:lang w:eastAsia="pt-BR"/>
        </w:rPr>
        <w:t xml:space="preserve"> razões de interesse público, devidamente justificadas.</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7.2.1.</w:t>
      </w:r>
      <w:r w:rsidRPr="001B7093">
        <w:rPr>
          <w:rFonts w:ascii="Arial" w:eastAsia="Times New Roman" w:hAnsi="Arial" w:cs="Arial"/>
          <w:sz w:val="20"/>
          <w:szCs w:val="20"/>
          <w:lang w:eastAsia="pt-BR"/>
        </w:rPr>
        <w:t xml:space="preserve"> Na hipótese em que o detentor da ata solicite o cancelamento em razão do disposto no inciso IV do subitem 7.2, o órgão gerenciador poderá, como alternativa ao cancelamento: </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 - </w:t>
      </w:r>
      <w:proofErr w:type="gramStart"/>
      <w:r w:rsidRPr="001B7093">
        <w:rPr>
          <w:rFonts w:ascii="Arial" w:eastAsia="Times New Roman" w:hAnsi="Arial" w:cs="Arial"/>
          <w:sz w:val="20"/>
          <w:szCs w:val="20"/>
          <w:lang w:eastAsia="pt-BR"/>
        </w:rPr>
        <w:t>suspender</w:t>
      </w:r>
      <w:proofErr w:type="gramEnd"/>
      <w:r w:rsidRPr="001B7093">
        <w:rPr>
          <w:rFonts w:ascii="Arial" w:eastAsia="Times New Roman" w:hAnsi="Arial" w:cs="Arial"/>
          <w:sz w:val="20"/>
          <w:szCs w:val="20"/>
          <w:lang w:eastAsia="pt-BR"/>
        </w:rPr>
        <w:t xml:space="preserve"> temporariamente as utilizações e as adesões à ARP até a regularização do fornecimento do produto registrado, desde que demonstrado o interesse público e a vantagem na manutenção do preço registrado;</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sz w:val="20"/>
          <w:szCs w:val="20"/>
          <w:lang w:eastAsia="pt-BR"/>
        </w:rPr>
        <w:t xml:space="preserve">II - </w:t>
      </w:r>
      <w:proofErr w:type="gramStart"/>
      <w:r w:rsidRPr="001B7093">
        <w:rPr>
          <w:rFonts w:ascii="Arial" w:eastAsia="Times New Roman" w:hAnsi="Arial" w:cs="Arial"/>
          <w:sz w:val="20"/>
          <w:szCs w:val="20"/>
          <w:lang w:eastAsia="pt-BR"/>
        </w:rPr>
        <w:t>proceder</w:t>
      </w:r>
      <w:proofErr w:type="gramEnd"/>
      <w:r w:rsidRPr="001B7093">
        <w:rPr>
          <w:rFonts w:ascii="Arial" w:eastAsia="Times New Roman" w:hAnsi="Arial" w:cs="Arial"/>
          <w:sz w:val="20"/>
          <w:szCs w:val="20"/>
          <w:lang w:eastAsia="pt-BR"/>
        </w:rPr>
        <w:t xml:space="preserve"> às negociações com os aderentes de preço e os licitantes remanescentes na forma do subitem 4.6.</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sz w:val="20"/>
          <w:szCs w:val="20"/>
          <w:lang w:eastAsia="pt-BR"/>
        </w:rPr>
        <w:t>7.3</w:t>
      </w:r>
      <w:r w:rsidRPr="001B7093">
        <w:rPr>
          <w:rFonts w:ascii="Arial" w:eastAsia="Times New Roman" w:hAnsi="Arial" w:cs="Arial"/>
          <w:sz w:val="20"/>
          <w:szCs w:val="20"/>
          <w:lang w:eastAsia="pt-BR"/>
        </w:rPr>
        <w:t>. Nas hipóteses dos incisos II e V do subitem 7.1 e dos incisos IV e V do subitem 7.2 deste instrumento, o órgão gerenciador deverá motivar sua decisão nos autos do processo, assegurados o contraditório e a ampla defesa do detentor da ARP e dos aderentes, se houver.</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caps/>
          <w:color w:val="FFFFFF"/>
          <w:spacing w:val="15"/>
          <w:lang w:eastAsia="pt-BR"/>
        </w:rPr>
      </w:pPr>
      <w:r w:rsidRPr="001B7093">
        <w:rPr>
          <w:rFonts w:ascii="Arial" w:eastAsia="Times New Roman" w:hAnsi="Arial" w:cs="Times New Roman"/>
          <w:b/>
          <w:caps/>
          <w:color w:val="FFFFFF"/>
          <w:spacing w:val="15"/>
          <w:lang w:eastAsia="pt-BR"/>
        </w:rPr>
        <w:t>CLÁUSULA oitava – das contratações decorrentes da arp</w:t>
      </w:r>
    </w:p>
    <w:p w:rsidR="001B7093" w:rsidRPr="001B7093" w:rsidRDefault="001B7093" w:rsidP="001B7093">
      <w:pPr>
        <w:widowControl w:val="0"/>
        <w:spacing w:after="0" w:line="240" w:lineRule="auto"/>
        <w:jc w:val="both"/>
        <w:rPr>
          <w:rFonts w:ascii="Arial" w:eastAsia="Times New Roman" w:hAnsi="Arial" w:cs="Arial"/>
          <w:b/>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8.1.</w:t>
      </w:r>
      <w:r w:rsidRPr="001B7093">
        <w:rPr>
          <w:rFonts w:ascii="Arial" w:eastAsia="Times New Roman" w:hAnsi="Arial" w:cs="Arial"/>
          <w:color w:val="000000"/>
          <w:sz w:val="20"/>
          <w:szCs w:val="20"/>
          <w:lang w:eastAsia="pt-BR"/>
        </w:rPr>
        <w:t xml:space="preserve"> A contratação com o detentor da ARP será formalizada pelos órgãos e entidades participantes, por intermédio de instrumento contratual, pela emissão de nota de empenho de despesa, carta-contrato, autorização de compra ou ordem de execução de serviço, observado o disposto no Capítulo I do Título III da Lei Federal nº 14.133, de 2021.</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8.1.1</w:t>
      </w:r>
      <w:r w:rsidRPr="001B7093">
        <w:rPr>
          <w:rFonts w:ascii="Arial" w:eastAsia="Times New Roman" w:hAnsi="Arial" w:cs="Arial"/>
          <w:color w:val="000000"/>
          <w:sz w:val="20"/>
          <w:szCs w:val="20"/>
          <w:lang w:eastAsia="pt-BR"/>
        </w:rPr>
        <w:t>.</w:t>
      </w:r>
      <w:r w:rsidRPr="001B7093">
        <w:rPr>
          <w:rFonts w:ascii="Calibri" w:eastAsia="Calibri" w:hAnsi="Calibri" w:cs="Times New Roman"/>
        </w:rPr>
        <w:t xml:space="preserve"> </w:t>
      </w:r>
      <w:r w:rsidRPr="001B7093">
        <w:rPr>
          <w:rFonts w:ascii="Arial" w:eastAsia="Times New Roman" w:hAnsi="Arial" w:cs="Arial"/>
          <w:color w:val="000000"/>
          <w:sz w:val="20"/>
          <w:szCs w:val="20"/>
          <w:lang w:eastAsia="pt-BR"/>
        </w:rPr>
        <w:t>Será admitida a forma eletrônica na celebração de contratos, mediante certificado digital emitido em âmbito da Infraestrutura de Chaves Públicas Brasileira (ICP-Brasil).</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8.2.</w:t>
      </w:r>
      <w:r w:rsidRPr="001B7093">
        <w:rPr>
          <w:rFonts w:ascii="Calibri" w:eastAsia="Calibri" w:hAnsi="Calibri" w:cs="Times New Roman"/>
        </w:rPr>
        <w:t xml:space="preserve"> </w:t>
      </w:r>
      <w:r w:rsidRPr="001B7093">
        <w:rPr>
          <w:rFonts w:ascii="Arial" w:eastAsia="Times New Roman" w:hAnsi="Arial" w:cs="Arial"/>
          <w:color w:val="000000"/>
          <w:sz w:val="20"/>
          <w:szCs w:val="20"/>
          <w:lang w:eastAsia="pt-BR"/>
        </w:rPr>
        <w:t xml:space="preserve">O prazo para assinatura do contrato, retirada de nota de empenho ou instrumento equivalente, será de ........ (.......) </w:t>
      </w:r>
      <w:proofErr w:type="gramStart"/>
      <w:r w:rsidRPr="001B7093">
        <w:rPr>
          <w:rFonts w:ascii="Arial" w:eastAsia="Times New Roman" w:hAnsi="Arial" w:cs="Arial"/>
          <w:color w:val="000000"/>
          <w:sz w:val="20"/>
          <w:szCs w:val="20"/>
          <w:lang w:eastAsia="pt-BR"/>
        </w:rPr>
        <w:t>dias</w:t>
      </w:r>
      <w:proofErr w:type="gramEnd"/>
      <w:r w:rsidRPr="001B7093">
        <w:rPr>
          <w:rFonts w:ascii="Arial" w:eastAsia="Times New Roman" w:hAnsi="Arial" w:cs="Arial"/>
          <w:color w:val="000000"/>
          <w:sz w:val="20"/>
          <w:szCs w:val="20"/>
          <w:lang w:eastAsia="pt-BR"/>
        </w:rPr>
        <w:t xml:space="preserve"> úteis, após regular convocação.</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8.3.</w:t>
      </w:r>
      <w:r w:rsidRPr="001B7093">
        <w:rPr>
          <w:rFonts w:ascii="Arial" w:eastAsia="Times New Roman" w:hAnsi="Arial" w:cs="Arial"/>
          <w:color w:val="000000"/>
          <w:sz w:val="20"/>
          <w:szCs w:val="20"/>
          <w:lang w:eastAsia="pt-BR"/>
        </w:rPr>
        <w:t xml:space="preserve"> A formalização dos contratos, decorrentes do SRP, deverá ser providenciada dentro do prazo de vigência da ARP.</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8.3.1</w:t>
      </w:r>
      <w:r w:rsidRPr="001B7093">
        <w:rPr>
          <w:rFonts w:ascii="Arial" w:eastAsia="Times New Roman" w:hAnsi="Arial" w:cs="Arial"/>
          <w:color w:val="000000"/>
          <w:sz w:val="20"/>
          <w:szCs w:val="20"/>
          <w:lang w:eastAsia="pt-BR"/>
        </w:rPr>
        <w:t>. Na hipótese em que o instrumento de contrato seja substituído por outro instrumento hábil na forma do art. 95 da Lei Federal nº 14.133, de 2021, a emissão dos referidos documentos e o seu envio ao detentor da ARP deverá ocorrer dentro do prazo de vigência desta.</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8.4</w:t>
      </w:r>
      <w:r w:rsidRPr="001B7093">
        <w:rPr>
          <w:rFonts w:ascii="Arial" w:eastAsia="Times New Roman" w:hAnsi="Arial" w:cs="Arial"/>
          <w:color w:val="000000"/>
          <w:sz w:val="20"/>
          <w:szCs w:val="20"/>
          <w:lang w:eastAsia="pt-BR"/>
        </w:rPr>
        <w:t>.</w:t>
      </w:r>
      <w:r w:rsidRPr="001B7093">
        <w:rPr>
          <w:rFonts w:ascii="Calibri" w:eastAsia="Times New Roman" w:hAnsi="Calibri" w:cs="Times New Roman"/>
          <w:sz w:val="20"/>
          <w:szCs w:val="20"/>
        </w:rPr>
        <w:t xml:space="preserve"> </w:t>
      </w:r>
      <w:r w:rsidRPr="001B7093">
        <w:rPr>
          <w:rFonts w:ascii="Arial" w:eastAsia="Times New Roman" w:hAnsi="Arial" w:cs="Arial"/>
          <w:color w:val="000000"/>
          <w:sz w:val="20"/>
          <w:szCs w:val="20"/>
          <w:lang w:eastAsia="pt-BR"/>
        </w:rPr>
        <w:t>Na assinatura do contrato:</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color w:val="000000"/>
          <w:sz w:val="20"/>
          <w:szCs w:val="20"/>
          <w:lang w:eastAsia="pt-BR"/>
        </w:rPr>
        <w:t xml:space="preserve">I – </w:t>
      </w:r>
      <w:proofErr w:type="gramStart"/>
      <w:r w:rsidRPr="001B7093">
        <w:rPr>
          <w:rFonts w:ascii="Arial" w:eastAsia="Times New Roman" w:hAnsi="Arial" w:cs="Arial"/>
          <w:color w:val="000000"/>
          <w:sz w:val="20"/>
          <w:szCs w:val="20"/>
          <w:lang w:eastAsia="pt-BR"/>
        </w:rPr>
        <w:t>será</w:t>
      </w:r>
      <w:proofErr w:type="gramEnd"/>
      <w:r w:rsidRPr="001B7093">
        <w:rPr>
          <w:rFonts w:ascii="Arial" w:eastAsia="Times New Roman" w:hAnsi="Arial" w:cs="Arial"/>
          <w:color w:val="000000"/>
          <w:sz w:val="20"/>
          <w:szCs w:val="20"/>
          <w:lang w:eastAsia="pt-BR"/>
        </w:rPr>
        <w:t xml:space="preserve"> exigida a comprovação das condições de habilitação fiscal e trabalhista consignadas no edital de licitação, observado o disposto no subitem 7.8 do Edital;</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color w:val="000000"/>
          <w:sz w:val="20"/>
          <w:szCs w:val="20"/>
          <w:lang w:eastAsia="pt-BR"/>
        </w:rPr>
        <w:t xml:space="preserve">II – </w:t>
      </w:r>
      <w:proofErr w:type="gramStart"/>
      <w:r w:rsidRPr="001B7093">
        <w:rPr>
          <w:rFonts w:ascii="Arial" w:eastAsia="Times New Roman" w:hAnsi="Arial" w:cs="Arial"/>
          <w:color w:val="000000"/>
          <w:sz w:val="20"/>
          <w:szCs w:val="20"/>
          <w:lang w:eastAsia="pt-BR"/>
        </w:rPr>
        <w:t>será</w:t>
      </w:r>
      <w:proofErr w:type="gramEnd"/>
      <w:r w:rsidRPr="001B7093">
        <w:rPr>
          <w:rFonts w:ascii="Arial" w:eastAsia="Times New Roman" w:hAnsi="Arial" w:cs="Arial"/>
          <w:color w:val="000000"/>
          <w:sz w:val="20"/>
          <w:szCs w:val="20"/>
          <w:lang w:eastAsia="pt-BR"/>
        </w:rPr>
        <w:t xml:space="preserve"> realizada consulta nos cadastros a que se referem o subitem 7.1 do Edital; </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spacing w:after="0" w:line="276" w:lineRule="auto"/>
        <w:jc w:val="both"/>
        <w:rPr>
          <w:rFonts w:ascii="Arial" w:eastAsia="Times New Roman" w:hAnsi="Arial" w:cs="Times New Roman"/>
          <w:color w:val="FF0000"/>
          <w:sz w:val="20"/>
          <w:szCs w:val="20"/>
        </w:rPr>
      </w:pPr>
      <w:r w:rsidRPr="001B7093">
        <w:rPr>
          <w:rFonts w:ascii="Arial" w:eastAsia="Times New Roman" w:hAnsi="Arial" w:cs="Times New Roman"/>
          <w:color w:val="FF0000"/>
          <w:sz w:val="20"/>
          <w:szCs w:val="20"/>
        </w:rPr>
        <w:t>III – deverão ser entregues os documentos exigidos para essa fase procedimental, conforme previsto no Termo de Referência.</w:t>
      </w:r>
    </w:p>
    <w:p w:rsidR="001B7093" w:rsidRPr="001B7093" w:rsidRDefault="001B7093" w:rsidP="001B7093">
      <w:pPr>
        <w:spacing w:after="0" w:line="276" w:lineRule="auto"/>
        <w:jc w:val="both"/>
        <w:rPr>
          <w:rFonts w:ascii="Arial" w:eastAsia="Times New Roman" w:hAnsi="Arial" w:cs="Times New Roman"/>
          <w:sz w:val="20"/>
          <w:szCs w:val="20"/>
        </w:rPr>
      </w:pPr>
    </w:p>
    <w:p w:rsidR="001B7093" w:rsidRPr="001B7093" w:rsidRDefault="001B7093" w:rsidP="001B7093">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sz w:val="20"/>
          <w:szCs w:val="20"/>
          <w:lang w:eastAsia="ar-SA"/>
        </w:rPr>
      </w:pPr>
      <w:r w:rsidRPr="001B7093">
        <w:rPr>
          <w:rFonts w:ascii="Arial" w:eastAsia="Times New Roman" w:hAnsi="Arial" w:cs="Arial"/>
          <w:b/>
          <w:sz w:val="20"/>
          <w:szCs w:val="20"/>
          <w:lang w:eastAsia="ar-SA"/>
        </w:rPr>
        <w:t>Nota explicativa</w:t>
      </w:r>
      <w:r w:rsidRPr="001B7093">
        <w:rPr>
          <w:rFonts w:ascii="Arial" w:eastAsia="Times New Roman" w:hAnsi="Arial" w:cs="Arial"/>
          <w:sz w:val="20"/>
          <w:szCs w:val="20"/>
          <w:lang w:eastAsia="ar-SA"/>
        </w:rPr>
        <w:t>: A depender dos requisitos da contratação especificados no Termo de Referência, é possível que a equipe de planejamento tenha incluído a necessidade de apresentações de algum (</w:t>
      </w:r>
      <w:proofErr w:type="spellStart"/>
      <w:r w:rsidRPr="001B7093">
        <w:rPr>
          <w:rFonts w:ascii="Arial" w:eastAsia="Times New Roman" w:hAnsi="Arial" w:cs="Arial"/>
          <w:sz w:val="20"/>
          <w:szCs w:val="20"/>
          <w:lang w:eastAsia="ar-SA"/>
        </w:rPr>
        <w:t>ns</w:t>
      </w:r>
      <w:proofErr w:type="spellEnd"/>
      <w:r w:rsidRPr="001B7093">
        <w:rPr>
          <w:rFonts w:ascii="Arial" w:eastAsia="Times New Roman" w:hAnsi="Arial" w:cs="Arial"/>
          <w:sz w:val="20"/>
          <w:szCs w:val="20"/>
          <w:lang w:eastAsia="ar-SA"/>
        </w:rPr>
        <w:t xml:space="preserve">) documento (s) no momento da assinatura do contrato, como, por exemplo, alguma declaração, comprovação de equipe técnica, etc. Para esses casos, deverá ser mantido o inciso III do subitem 8.4. </w:t>
      </w:r>
    </w:p>
    <w:p w:rsidR="001B7093" w:rsidRPr="001B7093" w:rsidRDefault="001B7093" w:rsidP="001B7093">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sz w:val="20"/>
          <w:szCs w:val="20"/>
          <w:lang w:eastAsia="ar-SA"/>
        </w:rPr>
      </w:pPr>
      <w:r w:rsidRPr="001B7093">
        <w:rPr>
          <w:rFonts w:ascii="Arial" w:eastAsia="Times New Roman" w:hAnsi="Arial" w:cs="Arial"/>
          <w:sz w:val="20"/>
          <w:szCs w:val="20"/>
          <w:lang w:eastAsia="ar-SA"/>
        </w:rPr>
        <w:t>Não existindo a necessidade de apresentação de documentos para essa fase, basta excluir a redação do inciso III.</w:t>
      </w:r>
    </w:p>
    <w:p w:rsidR="001B7093" w:rsidRPr="001B7093" w:rsidRDefault="001B7093" w:rsidP="001B7093">
      <w:pPr>
        <w:spacing w:after="0" w:line="276" w:lineRule="auto"/>
        <w:jc w:val="both"/>
        <w:rPr>
          <w:rFonts w:ascii="Arial" w:eastAsia="Times New Roman" w:hAnsi="Arial" w:cs="Times New Roman"/>
          <w:sz w:val="20"/>
          <w:szCs w:val="20"/>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bCs/>
          <w:sz w:val="20"/>
          <w:szCs w:val="20"/>
          <w:lang w:eastAsia="pt-BR"/>
        </w:rPr>
      </w:pPr>
      <w:r w:rsidRPr="001B7093">
        <w:rPr>
          <w:rFonts w:ascii="Arial" w:eastAsia="Times New Roman" w:hAnsi="Arial" w:cs="Arial"/>
          <w:b/>
          <w:color w:val="000000"/>
          <w:sz w:val="20"/>
          <w:szCs w:val="20"/>
          <w:lang w:eastAsia="pt-BR"/>
        </w:rPr>
        <w:t>8.5</w:t>
      </w:r>
      <w:r w:rsidRPr="001B7093">
        <w:rPr>
          <w:rFonts w:ascii="Arial" w:eastAsia="Times New Roman" w:hAnsi="Arial" w:cs="Arial"/>
          <w:color w:val="000000"/>
          <w:sz w:val="20"/>
          <w:szCs w:val="20"/>
          <w:lang w:eastAsia="pt-BR"/>
        </w:rPr>
        <w:t>.</w:t>
      </w:r>
      <w:r w:rsidRPr="001B7093">
        <w:rPr>
          <w:rFonts w:ascii="Arial" w:eastAsia="Times New Roman" w:hAnsi="Arial" w:cs="Arial"/>
          <w:bCs/>
          <w:sz w:val="20"/>
          <w:szCs w:val="20"/>
          <w:lang w:eastAsia="pt-BR"/>
        </w:rPr>
        <w:t xml:space="preserve"> O prazo de duração dos contratos, decorrentes da ARP, não se confunde com o prazo de vigência da própria ata (</w:t>
      </w:r>
      <w:r w:rsidRPr="001B7093">
        <w:rPr>
          <w:rFonts w:ascii="Arial" w:eastAsia="Times New Roman" w:hAnsi="Arial" w:cs="Arial"/>
          <w:sz w:val="20"/>
          <w:szCs w:val="20"/>
          <w:lang w:eastAsia="pt-BR"/>
        </w:rPr>
        <w:t>previsto no subitem 3.1)</w:t>
      </w:r>
      <w:r w:rsidRPr="001B7093">
        <w:rPr>
          <w:rFonts w:ascii="Arial" w:eastAsia="Times New Roman" w:hAnsi="Arial" w:cs="Arial"/>
          <w:bCs/>
          <w:sz w:val="20"/>
          <w:szCs w:val="20"/>
          <w:lang w:eastAsia="pt-BR"/>
        </w:rPr>
        <w:t>, estando aquele primeiro submetido ao disposto no Capítulo V do Título III da Lei Federal nº 14.133, de 2021.</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bCs/>
          <w:color w:val="FF0000"/>
          <w:sz w:val="20"/>
          <w:szCs w:val="20"/>
          <w:lang w:eastAsia="pt-BR"/>
        </w:rPr>
        <w:t>8.5.1</w:t>
      </w:r>
      <w:r w:rsidRPr="001B7093">
        <w:rPr>
          <w:rFonts w:ascii="Arial" w:eastAsia="Times New Roman" w:hAnsi="Arial" w:cs="Arial"/>
          <w:color w:val="FF0000"/>
          <w:sz w:val="20"/>
          <w:szCs w:val="20"/>
          <w:lang w:eastAsia="pt-BR"/>
        </w:rPr>
        <w:t xml:space="preserve">. O contrato a que se refere o subitem 8.5 terá o prazo de vigência da contratação de .............................. contados </w:t>
      </w:r>
      <w:proofErr w:type="gramStart"/>
      <w:r w:rsidRPr="001B7093">
        <w:rPr>
          <w:rFonts w:ascii="Arial" w:eastAsia="Times New Roman" w:hAnsi="Arial" w:cs="Arial"/>
          <w:color w:val="FF0000"/>
          <w:sz w:val="20"/>
          <w:szCs w:val="20"/>
          <w:lang w:eastAsia="pt-BR"/>
        </w:rPr>
        <w:t>do(</w:t>
      </w:r>
      <w:proofErr w:type="gramEnd"/>
      <w:r w:rsidRPr="001B7093">
        <w:rPr>
          <w:rFonts w:ascii="Arial" w:eastAsia="Times New Roman" w:hAnsi="Arial" w:cs="Arial"/>
          <w:color w:val="FF0000"/>
          <w:sz w:val="20"/>
          <w:szCs w:val="20"/>
          <w:lang w:eastAsia="pt-BR"/>
        </w:rPr>
        <w:t>a) ............................., na forma do artigo 105 da Lei n° 14.133, de 2021, observadas as condições previstas naquele instrumento.</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b/>
          <w:color w:val="FF0000"/>
          <w:sz w:val="20"/>
          <w:szCs w:val="20"/>
          <w:lang w:eastAsia="pt-BR"/>
        </w:rPr>
      </w:pPr>
      <w:r w:rsidRPr="001B7093">
        <w:rPr>
          <w:rFonts w:ascii="Arial" w:eastAsia="Times New Roman" w:hAnsi="Arial" w:cs="Arial"/>
          <w:b/>
          <w:color w:val="FF0000"/>
          <w:sz w:val="20"/>
          <w:szCs w:val="20"/>
          <w:lang w:eastAsia="pt-BR"/>
        </w:rPr>
        <w:t>OU</w:t>
      </w: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p>
    <w:p w:rsidR="001B7093" w:rsidRPr="001B7093" w:rsidRDefault="001B7093" w:rsidP="001B7093">
      <w:pPr>
        <w:widowControl w:val="0"/>
        <w:autoSpaceDE w:val="0"/>
        <w:autoSpaceDN w:val="0"/>
        <w:adjustRightInd w:val="0"/>
        <w:spacing w:after="0" w:line="240" w:lineRule="auto"/>
        <w:jc w:val="both"/>
        <w:rPr>
          <w:rFonts w:ascii="Arial" w:eastAsia="Times New Roman" w:hAnsi="Arial" w:cs="Arial"/>
          <w:color w:val="FF0000"/>
          <w:sz w:val="20"/>
          <w:szCs w:val="20"/>
          <w:lang w:eastAsia="pt-BR"/>
        </w:rPr>
      </w:pPr>
      <w:r w:rsidRPr="001B7093">
        <w:rPr>
          <w:rFonts w:ascii="Arial" w:eastAsia="Times New Roman" w:hAnsi="Arial" w:cs="Arial"/>
          <w:b/>
          <w:bCs/>
          <w:color w:val="FF0000"/>
          <w:sz w:val="20"/>
          <w:szCs w:val="20"/>
          <w:lang w:eastAsia="pt-BR"/>
        </w:rPr>
        <w:t>8.5.1</w:t>
      </w:r>
      <w:r w:rsidRPr="001B7093">
        <w:rPr>
          <w:rFonts w:ascii="Arial" w:eastAsia="Times New Roman" w:hAnsi="Arial" w:cs="Arial"/>
          <w:color w:val="FF0000"/>
          <w:sz w:val="20"/>
          <w:szCs w:val="20"/>
          <w:lang w:eastAsia="pt-BR"/>
        </w:rPr>
        <w:t xml:space="preserve">. O contrato a que se refere o subitem 8.5 terá o prazo de vigência da contratação </w:t>
      </w:r>
      <w:proofErr w:type="gramStart"/>
      <w:r w:rsidRPr="001B7093">
        <w:rPr>
          <w:rFonts w:ascii="Arial" w:eastAsia="Times New Roman" w:hAnsi="Arial" w:cs="Arial"/>
          <w:color w:val="FF0000"/>
          <w:sz w:val="20"/>
          <w:szCs w:val="20"/>
          <w:lang w:eastAsia="pt-BR"/>
        </w:rPr>
        <w:t>de  ..............................</w:t>
      </w:r>
      <w:proofErr w:type="gramEnd"/>
      <w:r w:rsidRPr="001B7093">
        <w:rPr>
          <w:rFonts w:ascii="Arial" w:eastAsia="Times New Roman" w:hAnsi="Arial" w:cs="Arial"/>
          <w:color w:val="FF0000"/>
          <w:sz w:val="20"/>
          <w:szCs w:val="20"/>
          <w:lang w:eastAsia="pt-BR"/>
        </w:rPr>
        <w:t xml:space="preserve"> contados do(a) ............................., prorrogável por até 10 anos, na forma dos artigos 106 e 107 da Lei n° 14.133, de 2021, observadas as condições previstas naquele instrumento.</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sz w:val="20"/>
          <w:szCs w:val="20"/>
          <w:lang w:eastAsia="ar-SA"/>
        </w:rPr>
      </w:pPr>
      <w:r w:rsidRPr="001B7093">
        <w:rPr>
          <w:rFonts w:ascii="Arial" w:eastAsia="Times New Roman" w:hAnsi="Arial" w:cs="Arial"/>
          <w:b/>
          <w:sz w:val="20"/>
          <w:szCs w:val="20"/>
          <w:lang w:eastAsia="ar-SA"/>
        </w:rPr>
        <w:t>Nota explicativa</w:t>
      </w:r>
      <w:r w:rsidRPr="001B7093">
        <w:rPr>
          <w:rFonts w:ascii="Arial" w:eastAsia="Times New Roman" w:hAnsi="Arial" w:cs="Arial"/>
          <w:sz w:val="20"/>
          <w:szCs w:val="20"/>
          <w:lang w:eastAsia="ar-SA"/>
        </w:rPr>
        <w:t>: As informações relativas à vigência do contrato a ser celebrado deverão estar de acordo com o previsto no Termo de Referência.</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r w:rsidRPr="001B7093">
        <w:rPr>
          <w:rFonts w:ascii="Arial" w:eastAsia="Times New Roman" w:hAnsi="Arial" w:cs="Arial"/>
          <w:b/>
          <w:color w:val="000000"/>
          <w:sz w:val="20"/>
          <w:szCs w:val="20"/>
          <w:lang w:eastAsia="pt-BR"/>
        </w:rPr>
        <w:t>8.6</w:t>
      </w:r>
      <w:r w:rsidRPr="001B7093">
        <w:rPr>
          <w:rFonts w:ascii="Arial" w:eastAsia="Times New Roman" w:hAnsi="Arial" w:cs="Arial"/>
          <w:color w:val="000000"/>
          <w:sz w:val="20"/>
          <w:szCs w:val="20"/>
          <w:lang w:eastAsia="pt-BR"/>
        </w:rPr>
        <w:t xml:space="preserve">. </w:t>
      </w:r>
      <w:r w:rsidRPr="001B7093">
        <w:rPr>
          <w:rFonts w:ascii="Arial" w:eastAsia="Times New Roman" w:hAnsi="Arial" w:cs="Arial"/>
          <w:sz w:val="20"/>
          <w:szCs w:val="20"/>
          <w:lang w:eastAsia="pt-BR"/>
        </w:rPr>
        <w:t xml:space="preserve">No caso de contratação </w:t>
      </w:r>
      <w:r w:rsidRPr="001B7093">
        <w:rPr>
          <w:rFonts w:ascii="Arial" w:eastAsia="Times New Roman" w:hAnsi="Arial" w:cs="Arial"/>
          <w:color w:val="000000"/>
          <w:sz w:val="20"/>
          <w:szCs w:val="20"/>
          <w:lang w:eastAsia="pt-BR"/>
        </w:rPr>
        <w:t>com a utilização de recursos da União decorrentes de transferências voluntárias, tais como convênios e contratos de repasse,</w:t>
      </w:r>
      <w:r w:rsidRPr="001B7093">
        <w:rPr>
          <w:rFonts w:ascii="Arial" w:eastAsia="Times New Roman" w:hAnsi="Arial" w:cs="Arial"/>
          <w:sz w:val="20"/>
          <w:szCs w:val="20"/>
          <w:lang w:eastAsia="pt-BR"/>
        </w:rPr>
        <w:t xml:space="preserve"> a prioridade para o fornecimento deverá observar a regra prevista no artigo 8º, §4°, do Decreto Federal n</w:t>
      </w:r>
      <w:r w:rsidRPr="001B7093">
        <w:rPr>
          <w:rFonts w:ascii="Arial" w:eastAsia="Calibri" w:hAnsi="Arial" w:cs="Arial"/>
          <w:sz w:val="20"/>
          <w:szCs w:val="20"/>
        </w:rPr>
        <w:t>º</w:t>
      </w:r>
      <w:r w:rsidRPr="001B7093">
        <w:rPr>
          <w:rFonts w:ascii="Arial" w:eastAsia="Times New Roman" w:hAnsi="Arial" w:cs="Arial"/>
          <w:sz w:val="20"/>
          <w:szCs w:val="20"/>
          <w:lang w:eastAsia="pt-BR"/>
        </w:rPr>
        <w:t xml:space="preserve"> 8.538/2015.</w:t>
      </w:r>
    </w:p>
    <w:p w:rsidR="001B7093" w:rsidRPr="001B7093" w:rsidRDefault="001B7093" w:rsidP="001B7093">
      <w:pPr>
        <w:widowControl w:val="0"/>
        <w:spacing w:after="0" w:line="240" w:lineRule="auto"/>
        <w:jc w:val="both"/>
        <w:rPr>
          <w:rFonts w:ascii="Arial" w:eastAsia="Times New Roman" w:hAnsi="Arial" w:cs="Arial"/>
          <w:sz w:val="20"/>
          <w:szCs w:val="20"/>
          <w:lang w:eastAsia="pt-BR"/>
        </w:rPr>
      </w:pPr>
    </w:p>
    <w:p w:rsidR="001B7093" w:rsidRPr="001B7093" w:rsidRDefault="001B7093" w:rsidP="001B7093">
      <w:pPr>
        <w:spacing w:after="0"/>
        <w:jc w:val="both"/>
        <w:rPr>
          <w:rFonts w:ascii="Arial" w:eastAsia="Times New Roman" w:hAnsi="Arial" w:cs="Arial"/>
          <w:color w:val="FF0000"/>
          <w:sz w:val="20"/>
          <w:szCs w:val="20"/>
        </w:rPr>
      </w:pPr>
      <w:r w:rsidRPr="001B7093">
        <w:rPr>
          <w:rFonts w:ascii="Arial" w:eastAsia="Times New Roman" w:hAnsi="Arial" w:cs="Arial"/>
          <w:b/>
          <w:sz w:val="20"/>
          <w:szCs w:val="20"/>
          <w:lang w:eastAsia="pt-BR"/>
        </w:rPr>
        <w:t>8.7</w:t>
      </w:r>
      <w:r w:rsidRPr="001B7093">
        <w:rPr>
          <w:rFonts w:ascii="Arial" w:eastAsia="Times New Roman" w:hAnsi="Arial" w:cs="Arial"/>
          <w:sz w:val="20"/>
          <w:szCs w:val="20"/>
          <w:lang w:eastAsia="pt-BR"/>
        </w:rPr>
        <w:t xml:space="preserve">. </w:t>
      </w:r>
      <w:r w:rsidRPr="001B7093">
        <w:rPr>
          <w:rFonts w:ascii="Arial" w:eastAsia="Times New Roman" w:hAnsi="Arial" w:cs="Times New Roman"/>
          <w:color w:val="FF0000"/>
          <w:sz w:val="20"/>
          <w:szCs w:val="20"/>
        </w:rPr>
        <w:t>O licitante vencedor deverá comprovar a implantação de programa de integridade, no prazo de 6 (seis) meses, contado da celebração do contrato, na forma do § 4º do art. 25 da Lei Federal nº 14.133/2021.</w:t>
      </w:r>
    </w:p>
    <w:p w:rsidR="001B7093" w:rsidRPr="001B7093" w:rsidRDefault="001B7093" w:rsidP="001B7093">
      <w:pPr>
        <w:spacing w:after="0" w:line="276" w:lineRule="auto"/>
        <w:jc w:val="both"/>
        <w:rPr>
          <w:rFonts w:ascii="Arial" w:eastAsia="Times New Roman" w:hAnsi="Arial" w:cs="Arial"/>
          <w:color w:val="000000"/>
          <w:sz w:val="20"/>
          <w:szCs w:val="20"/>
        </w:rPr>
      </w:pPr>
    </w:p>
    <w:p w:rsidR="001B7093" w:rsidRPr="001B7093" w:rsidRDefault="001B7093" w:rsidP="001B7093">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76" w:lineRule="auto"/>
        <w:jc w:val="both"/>
        <w:rPr>
          <w:rFonts w:ascii="Arial" w:eastAsia="Times New Roman" w:hAnsi="Arial" w:cs="Arial"/>
          <w:sz w:val="20"/>
          <w:szCs w:val="20"/>
          <w:lang w:eastAsia="ar-SA"/>
        </w:rPr>
      </w:pPr>
      <w:r w:rsidRPr="001B7093">
        <w:rPr>
          <w:rFonts w:ascii="Arial" w:eastAsia="Times New Roman" w:hAnsi="Arial" w:cs="Arial"/>
          <w:b/>
          <w:sz w:val="20"/>
          <w:szCs w:val="20"/>
          <w:lang w:eastAsia="ar-SA"/>
        </w:rPr>
        <w:t>Nota explicativa</w:t>
      </w:r>
      <w:r w:rsidRPr="001B7093">
        <w:rPr>
          <w:rFonts w:ascii="Arial" w:eastAsia="Times New Roman" w:hAnsi="Arial" w:cs="Arial"/>
          <w:sz w:val="20"/>
          <w:szCs w:val="20"/>
          <w:lang w:eastAsia="ar-SA"/>
        </w:rPr>
        <w:t>: De acordo com o §4º do art. 25 da Lei Federal nº 14.133/2021, “</w:t>
      </w:r>
      <w:r w:rsidRPr="001B7093">
        <w:rPr>
          <w:rFonts w:ascii="Arial" w:eastAsia="Times New Roman" w:hAnsi="Arial" w:cs="Arial"/>
          <w:i/>
          <w:color w:val="000000"/>
          <w:sz w:val="20"/>
          <w:szCs w:val="20"/>
        </w:rPr>
        <w:t>Nas contratações de obras, serviços e fornecimentos de grande vulto, o edital deverá prever a obrigatoriedade de implantação de programa de integridade pelo licitante vencedor, no prazo de 6 (seis) meses, contado da celebração do contrato, conforme regulamento que disporá sobre as medidas a serem adotadas, a forma de comprovação e as penalidades pelo seu descumprimento</w:t>
      </w:r>
      <w:r w:rsidRPr="001B7093">
        <w:rPr>
          <w:rFonts w:ascii="Arial" w:eastAsia="Times New Roman" w:hAnsi="Arial" w:cs="Arial"/>
          <w:color w:val="000000"/>
          <w:sz w:val="20"/>
          <w:szCs w:val="20"/>
        </w:rPr>
        <w:t>”.</w:t>
      </w:r>
    </w:p>
    <w:p w:rsidR="001B7093" w:rsidRPr="001B7093" w:rsidRDefault="001B7093" w:rsidP="001B7093">
      <w:pPr>
        <w:widowControl w:val="0"/>
        <w:spacing w:after="0" w:line="240" w:lineRule="auto"/>
        <w:jc w:val="both"/>
        <w:rPr>
          <w:rFonts w:ascii="Arial" w:eastAsia="Times New Roman" w:hAnsi="Arial" w:cs="Arial"/>
          <w:sz w:val="20"/>
          <w:szCs w:val="20"/>
          <w:highlight w:val="cyan"/>
          <w:lang w:eastAsia="pt-BR"/>
        </w:rPr>
      </w:pPr>
    </w:p>
    <w:p w:rsidR="001B7093" w:rsidRPr="001B7093" w:rsidRDefault="001B7093" w:rsidP="001B7093">
      <w:pPr>
        <w:pBdr>
          <w:top w:val="single" w:sz="24" w:space="0" w:color="549E39"/>
          <w:left w:val="single" w:sz="24" w:space="0" w:color="549E39"/>
          <w:bottom w:val="single" w:sz="24" w:space="0" w:color="549E39"/>
          <w:right w:val="single" w:sz="24" w:space="0" w:color="549E39"/>
        </w:pBdr>
        <w:shd w:val="clear" w:color="auto" w:fill="549E39"/>
        <w:spacing w:after="0" w:line="276" w:lineRule="auto"/>
        <w:outlineLvl w:val="0"/>
        <w:rPr>
          <w:rFonts w:ascii="Arial" w:eastAsia="Times New Roman" w:hAnsi="Arial" w:cs="Times New Roman"/>
          <w:b/>
          <w:caps/>
          <w:color w:val="FFFFFF"/>
          <w:spacing w:val="15"/>
          <w:lang w:eastAsia="pt-BR"/>
        </w:rPr>
      </w:pPr>
      <w:r w:rsidRPr="001B7093">
        <w:rPr>
          <w:rFonts w:ascii="Arial" w:eastAsia="Times New Roman" w:hAnsi="Arial" w:cs="Times New Roman"/>
          <w:b/>
          <w:caps/>
          <w:color w:val="FFFFFF"/>
          <w:spacing w:val="15"/>
          <w:lang w:eastAsia="pt-BR"/>
        </w:rPr>
        <w:t>CLÁUSULA nona – FORO</w:t>
      </w:r>
    </w:p>
    <w:p w:rsidR="001B7093" w:rsidRPr="001B7093" w:rsidRDefault="001B7093" w:rsidP="001B7093">
      <w:pPr>
        <w:widowControl w:val="0"/>
        <w:spacing w:after="0" w:line="240" w:lineRule="auto"/>
        <w:jc w:val="both"/>
        <w:rPr>
          <w:rFonts w:ascii="Arial" w:eastAsia="Times New Roman" w:hAnsi="Arial" w:cs="Arial"/>
          <w:b/>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9.1.</w:t>
      </w:r>
      <w:r w:rsidRPr="001B7093">
        <w:rPr>
          <w:rFonts w:ascii="Arial" w:eastAsia="Times New Roman" w:hAnsi="Arial" w:cs="Arial"/>
          <w:color w:val="000000"/>
          <w:sz w:val="20"/>
          <w:szCs w:val="20"/>
          <w:lang w:eastAsia="pt-BR"/>
        </w:rPr>
        <w:t xml:space="preserve"> As partes comprometem-se a submeter eventuais controvérsias, decorrentes do presente instrumento, à métodos alternativos de solução de conflito, que serão promovidos pela Procuradoria-Geral do Estado de Mato Grosso do Sul, nos termos da Resolução PGE n. 242, de 30 de junho de 2017conciliação que será promovida pela Procuradoria-Geral do Estado de Mato Grosso do Sul, nos termos da Resolução PGE nº 242, de 30 de junho de 2017.</w:t>
      </w: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p>
    <w:p w:rsidR="001B7093" w:rsidRPr="001B7093" w:rsidRDefault="001B7093" w:rsidP="001B7093">
      <w:pPr>
        <w:widowControl w:val="0"/>
        <w:spacing w:after="0" w:line="240" w:lineRule="auto"/>
        <w:jc w:val="both"/>
        <w:rPr>
          <w:rFonts w:ascii="Arial" w:eastAsia="Times New Roman" w:hAnsi="Arial" w:cs="Arial"/>
          <w:color w:val="000000"/>
          <w:sz w:val="20"/>
          <w:szCs w:val="20"/>
          <w:lang w:eastAsia="pt-BR"/>
        </w:rPr>
      </w:pPr>
      <w:r w:rsidRPr="001B7093">
        <w:rPr>
          <w:rFonts w:ascii="Arial" w:eastAsia="Times New Roman" w:hAnsi="Arial" w:cs="Arial"/>
          <w:b/>
          <w:color w:val="000000"/>
          <w:sz w:val="20"/>
          <w:szCs w:val="20"/>
          <w:lang w:eastAsia="pt-BR"/>
        </w:rPr>
        <w:t>9.1.1.</w:t>
      </w:r>
      <w:r w:rsidRPr="001B7093">
        <w:rPr>
          <w:rFonts w:ascii="Arial" w:eastAsia="Times New Roman" w:hAnsi="Arial" w:cs="Arial"/>
          <w:color w:val="000000"/>
          <w:sz w:val="20"/>
          <w:szCs w:val="20"/>
          <w:lang w:eastAsia="pt-BR"/>
        </w:rPr>
        <w:t xml:space="preserve"> Não logrando êxito o método alternativo de solução do conflito, fica eleito o foro da Comarca de Campo Grande, Estado de Mato Grosso do Sul, para dirimir as questões oriundas do presente instrumento, sendo este o competente para a propositura de qualquer medida judicial decorrente deste instrumento, com a exclusão de qualquer outro, por mais privilegiado que seja. </w:t>
      </w:r>
    </w:p>
    <w:p w:rsidR="001B7093" w:rsidRPr="001B7093" w:rsidRDefault="001B7093" w:rsidP="001B7093">
      <w:pPr>
        <w:spacing w:before="120" w:afterLines="120" w:after="288" w:line="312" w:lineRule="auto"/>
        <w:jc w:val="both"/>
        <w:rPr>
          <w:rFonts w:ascii="Arial" w:eastAsia="Times New Roman" w:hAnsi="Arial" w:cs="Arial"/>
          <w:color w:val="000000"/>
          <w:sz w:val="20"/>
          <w:szCs w:val="20"/>
          <w:lang w:eastAsia="pt-BR"/>
        </w:rPr>
      </w:pPr>
    </w:p>
    <w:p w:rsidR="001B7093" w:rsidRPr="001B7093" w:rsidRDefault="001B7093" w:rsidP="001B7093">
      <w:pPr>
        <w:spacing w:afterLines="120" w:after="288" w:line="240" w:lineRule="auto"/>
        <w:ind w:firstLine="567"/>
        <w:jc w:val="both"/>
        <w:rPr>
          <w:rFonts w:ascii="Arial" w:eastAsia="Times New Roman" w:hAnsi="Arial" w:cs="Arial"/>
          <w:i/>
          <w:iCs/>
          <w:sz w:val="20"/>
          <w:szCs w:val="20"/>
          <w:lang w:eastAsia="pt-BR"/>
        </w:rPr>
      </w:pPr>
      <w:r w:rsidRPr="001B7093">
        <w:rPr>
          <w:rFonts w:ascii="Arial" w:eastAsia="Times New Roman" w:hAnsi="Arial" w:cs="Arial"/>
          <w:i/>
          <w:iCs/>
          <w:color w:val="FF0000"/>
          <w:sz w:val="20"/>
          <w:szCs w:val="20"/>
          <w:lang w:eastAsia="pt-BR"/>
        </w:rPr>
        <w:t xml:space="preserve"> [Local]</w:t>
      </w:r>
      <w:r w:rsidRPr="001B7093">
        <w:rPr>
          <w:rFonts w:ascii="Arial" w:eastAsia="Times New Roman" w:hAnsi="Arial" w:cs="Arial"/>
          <w:i/>
          <w:iCs/>
          <w:sz w:val="20"/>
          <w:szCs w:val="20"/>
          <w:lang w:eastAsia="pt-BR"/>
        </w:rPr>
        <w:t>,</w:t>
      </w:r>
      <w:r w:rsidRPr="001B7093">
        <w:rPr>
          <w:rFonts w:ascii="Arial" w:eastAsia="Times New Roman" w:hAnsi="Arial" w:cs="Arial"/>
          <w:i/>
          <w:iCs/>
          <w:color w:val="FF0000"/>
          <w:sz w:val="20"/>
          <w:szCs w:val="20"/>
          <w:lang w:eastAsia="pt-BR"/>
        </w:rPr>
        <w:t xml:space="preserve"> [dia] </w:t>
      </w:r>
      <w:r w:rsidRPr="001B7093">
        <w:rPr>
          <w:rFonts w:ascii="Arial" w:eastAsia="Times New Roman" w:hAnsi="Arial" w:cs="Arial"/>
          <w:i/>
          <w:iCs/>
          <w:sz w:val="20"/>
          <w:szCs w:val="20"/>
          <w:lang w:eastAsia="pt-BR"/>
        </w:rPr>
        <w:t>de</w:t>
      </w:r>
      <w:r w:rsidRPr="001B7093">
        <w:rPr>
          <w:rFonts w:ascii="Arial" w:eastAsia="Times New Roman" w:hAnsi="Arial" w:cs="Arial"/>
          <w:i/>
          <w:iCs/>
          <w:color w:val="FF0000"/>
          <w:sz w:val="20"/>
          <w:szCs w:val="20"/>
          <w:lang w:eastAsia="pt-BR"/>
        </w:rPr>
        <w:t xml:space="preserve"> [mês] </w:t>
      </w:r>
      <w:r w:rsidRPr="001B7093">
        <w:rPr>
          <w:rFonts w:ascii="Arial" w:eastAsia="Times New Roman" w:hAnsi="Arial" w:cs="Arial"/>
          <w:i/>
          <w:iCs/>
          <w:sz w:val="20"/>
          <w:szCs w:val="20"/>
          <w:lang w:eastAsia="pt-BR"/>
        </w:rPr>
        <w:t>de</w:t>
      </w:r>
      <w:r w:rsidRPr="001B7093">
        <w:rPr>
          <w:rFonts w:ascii="Arial" w:eastAsia="Times New Roman" w:hAnsi="Arial" w:cs="Arial"/>
          <w:i/>
          <w:iCs/>
          <w:color w:val="FF0000"/>
          <w:sz w:val="20"/>
          <w:szCs w:val="20"/>
          <w:lang w:eastAsia="pt-BR"/>
        </w:rPr>
        <w:t xml:space="preserve"> [ano].</w:t>
      </w:r>
    </w:p>
    <w:p w:rsidR="001B7093" w:rsidRPr="001B7093" w:rsidRDefault="001B7093" w:rsidP="001B7093">
      <w:pPr>
        <w:spacing w:afterLines="120" w:after="288" w:line="240" w:lineRule="auto"/>
        <w:ind w:firstLine="567"/>
        <w:jc w:val="center"/>
        <w:rPr>
          <w:rFonts w:ascii="Arial" w:eastAsia="Calibri" w:hAnsi="Arial" w:cs="Arial"/>
          <w:bCs/>
          <w:sz w:val="20"/>
          <w:szCs w:val="20"/>
        </w:rPr>
      </w:pPr>
      <w:r w:rsidRPr="001B7093">
        <w:rPr>
          <w:rFonts w:ascii="Arial" w:eastAsia="Calibri" w:hAnsi="Arial" w:cs="Arial"/>
          <w:bCs/>
          <w:sz w:val="20"/>
          <w:szCs w:val="20"/>
        </w:rPr>
        <w:t>_________________________</w:t>
      </w:r>
    </w:p>
    <w:p w:rsidR="001B7093" w:rsidRPr="001B7093" w:rsidRDefault="001B7093" w:rsidP="001B7093">
      <w:pPr>
        <w:spacing w:afterLines="120" w:after="288" w:line="240" w:lineRule="auto"/>
        <w:ind w:firstLine="567"/>
        <w:jc w:val="center"/>
        <w:rPr>
          <w:rFonts w:ascii="Arial" w:eastAsia="Calibri" w:hAnsi="Arial" w:cs="Arial"/>
          <w:bCs/>
          <w:sz w:val="20"/>
          <w:szCs w:val="20"/>
        </w:rPr>
      </w:pPr>
      <w:r w:rsidRPr="001B7093">
        <w:rPr>
          <w:rFonts w:ascii="Arial" w:eastAsia="Calibri" w:hAnsi="Arial" w:cs="Arial"/>
          <w:bCs/>
          <w:sz w:val="20"/>
          <w:szCs w:val="20"/>
        </w:rPr>
        <w:t>Representante legal do GERENCIDADOR DA ATA</w:t>
      </w:r>
    </w:p>
    <w:p w:rsidR="001B7093" w:rsidRPr="001B7093" w:rsidRDefault="001B7093" w:rsidP="001B7093">
      <w:pPr>
        <w:spacing w:afterLines="120" w:after="288" w:line="240" w:lineRule="auto"/>
        <w:ind w:firstLine="567"/>
        <w:jc w:val="center"/>
        <w:rPr>
          <w:rFonts w:ascii="Arial" w:eastAsia="Calibri" w:hAnsi="Arial" w:cs="Arial"/>
          <w:sz w:val="20"/>
          <w:szCs w:val="20"/>
        </w:rPr>
      </w:pPr>
      <w:r w:rsidRPr="001B7093">
        <w:rPr>
          <w:rFonts w:ascii="Arial" w:eastAsia="Calibri" w:hAnsi="Arial" w:cs="Arial"/>
          <w:sz w:val="20"/>
          <w:szCs w:val="20"/>
        </w:rPr>
        <w:t>_________________________</w:t>
      </w:r>
    </w:p>
    <w:p w:rsidR="00396E1C" w:rsidRDefault="001B7093" w:rsidP="00C72CEB">
      <w:pPr>
        <w:spacing w:afterLines="120" w:after="288" w:line="240" w:lineRule="auto"/>
        <w:ind w:firstLine="567"/>
        <w:jc w:val="center"/>
      </w:pPr>
      <w:r w:rsidRPr="001B7093">
        <w:rPr>
          <w:rFonts w:ascii="Arial" w:eastAsia="Calibri" w:hAnsi="Arial" w:cs="Arial"/>
          <w:bCs/>
          <w:sz w:val="20"/>
          <w:szCs w:val="20"/>
        </w:rPr>
        <w:t>Representante</w:t>
      </w:r>
      <w:r w:rsidRPr="001B7093">
        <w:rPr>
          <w:rFonts w:ascii="Arial" w:eastAsia="Calibri" w:hAnsi="Arial" w:cs="Arial"/>
          <w:sz w:val="20"/>
          <w:szCs w:val="20"/>
        </w:rPr>
        <w:t xml:space="preserve"> legal do </w:t>
      </w:r>
      <w:r w:rsidRPr="001B7093">
        <w:rPr>
          <w:rFonts w:ascii="Arial" w:eastAsia="Calibri" w:hAnsi="Arial" w:cs="Arial"/>
          <w:bCs/>
          <w:sz w:val="20"/>
          <w:szCs w:val="20"/>
        </w:rPr>
        <w:t>DETENTOR DA ATA</w:t>
      </w:r>
    </w:p>
    <w:p w:rsidR="009931EC" w:rsidRDefault="009931EC"/>
    <w:sectPr w:rsidR="009931EC">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093" w:rsidRDefault="001B7093" w:rsidP="001B7093">
      <w:pPr>
        <w:spacing w:after="0" w:line="240" w:lineRule="auto"/>
      </w:pPr>
      <w:r>
        <w:separator/>
      </w:r>
    </w:p>
  </w:endnote>
  <w:endnote w:type="continuationSeparator" w:id="0">
    <w:p w:rsidR="001B7093" w:rsidRDefault="001B7093" w:rsidP="001B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037" w:rsidRDefault="00160037" w:rsidP="00160037">
    <w:pPr>
      <w:pStyle w:val="Rodap"/>
      <w:rPr>
        <w:rFonts w:ascii="Times New Roman" w:hAnsi="Times New Roman" w:cs="Times New Roman"/>
        <w:sz w:val="16"/>
        <w:szCs w:val="16"/>
      </w:rPr>
    </w:pPr>
    <w:r w:rsidRPr="00C85A74">
      <w:rPr>
        <w:rFonts w:ascii="Times New Roman" w:hAnsi="Times New Roman" w:cs="Times New Roman"/>
        <w:sz w:val="16"/>
        <w:szCs w:val="16"/>
      </w:rPr>
      <w:t xml:space="preserve">Av. Des. José Nunes da Cunha, Bloco IV, Parque dos Poderes, Campo Grande/MS, CEP 79.031-310 </w:t>
    </w:r>
  </w:p>
  <w:p w:rsidR="00160037" w:rsidRDefault="00160037" w:rsidP="00160037">
    <w:pPr>
      <w:pStyle w:val="Rodap"/>
    </w:pPr>
    <w:hyperlink r:id="rId1" w:history="1">
      <w:r w:rsidRPr="00C85A74">
        <w:rPr>
          <w:rStyle w:val="Hyperlink"/>
          <w:rFonts w:ascii="Times New Roman" w:hAnsi="Times New Roman" w:cs="Times New Roman"/>
          <w:sz w:val="16"/>
          <w:szCs w:val="16"/>
        </w:rPr>
        <w:t>www.pge.ms.gov.br</w:t>
      </w:r>
    </w:hyperlink>
    <w:r>
      <w:rPr>
        <w:rFonts w:ascii="Times New Roman" w:hAnsi="Times New Roman" w:cs="Times New Roman"/>
        <w:sz w:val="16"/>
        <w:szCs w:val="16"/>
      </w:rPr>
      <w:t xml:space="preserve">                                                                                                        </w:t>
    </w:r>
    <w:r w:rsidRPr="00C85A74">
      <w:rPr>
        <w:rFonts w:ascii="Times New Roman" w:hAnsi="Times New Roman" w:cs="Times New Roman"/>
        <w:sz w:val="16"/>
        <w:szCs w:val="16"/>
      </w:rPr>
      <w:t>(67) 3318-2661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093" w:rsidRDefault="001B7093" w:rsidP="001B7093">
      <w:pPr>
        <w:spacing w:after="0" w:line="240" w:lineRule="auto"/>
      </w:pPr>
      <w:r>
        <w:separator/>
      </w:r>
    </w:p>
  </w:footnote>
  <w:footnote w:type="continuationSeparator" w:id="0">
    <w:p w:rsidR="001B7093" w:rsidRDefault="001B7093" w:rsidP="001B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160037" w:rsidRPr="00C57E58" w:rsidTr="008A2E44">
      <w:trPr>
        <w:jc w:val="center"/>
      </w:trPr>
      <w:tc>
        <w:tcPr>
          <w:tcW w:w="2552" w:type="dxa"/>
          <w:tcBorders>
            <w:top w:val="nil"/>
            <w:left w:val="nil"/>
            <w:bottom w:val="nil"/>
            <w:right w:val="single" w:sz="4" w:space="0" w:color="auto"/>
          </w:tcBorders>
          <w:hideMark/>
        </w:tcPr>
        <w:p w:rsidR="00160037" w:rsidRDefault="00160037" w:rsidP="00160037">
          <w:pPr>
            <w:pStyle w:val="Cabealho"/>
            <w:ind w:left="-105"/>
            <w:rPr>
              <w:bCs/>
              <w:sz w:val="26"/>
            </w:rPr>
          </w:pPr>
          <w:r w:rsidRPr="00B42DE7">
            <w:rPr>
              <w:noProof/>
              <w:sz w:val="26"/>
            </w:rPr>
            <w:drawing>
              <wp:inline distT="0" distB="0" distL="0" distR="0" wp14:anchorId="68B5FB4E" wp14:editId="2876D653">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160037" w:rsidRPr="00C57E58" w:rsidRDefault="00160037" w:rsidP="00160037">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160037" w:rsidRPr="00C57E58" w:rsidRDefault="00160037" w:rsidP="00160037">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1B7093" w:rsidRDefault="001B7093" w:rsidP="001600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47A71"/>
    <w:multiLevelType w:val="multilevel"/>
    <w:tmpl w:val="42C268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82"/>
    <w:rsid w:val="00160037"/>
    <w:rsid w:val="001B7093"/>
    <w:rsid w:val="00396E1C"/>
    <w:rsid w:val="00710D82"/>
    <w:rsid w:val="009931EC"/>
    <w:rsid w:val="00C72C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8718E8-0804-49B4-A773-77FA12A0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1B7093"/>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1B7093"/>
  </w:style>
  <w:style w:type="paragraph" w:styleId="Rodap">
    <w:name w:val="footer"/>
    <w:basedOn w:val="Normal"/>
    <w:link w:val="RodapChar"/>
    <w:uiPriority w:val="99"/>
    <w:unhideWhenUsed/>
    <w:rsid w:val="001B7093"/>
    <w:pPr>
      <w:tabs>
        <w:tab w:val="center" w:pos="4252"/>
        <w:tab w:val="right" w:pos="8504"/>
      </w:tabs>
      <w:spacing w:after="0" w:line="240" w:lineRule="auto"/>
    </w:pPr>
  </w:style>
  <w:style w:type="character" w:customStyle="1" w:styleId="RodapChar">
    <w:name w:val="Rodapé Char"/>
    <w:basedOn w:val="Fontepargpadro"/>
    <w:link w:val="Rodap"/>
    <w:uiPriority w:val="99"/>
    <w:rsid w:val="001B7093"/>
  </w:style>
  <w:style w:type="paragraph" w:styleId="Textodenotaderodap">
    <w:name w:val="footnote text"/>
    <w:aliases w:val=" Char,Char,Char4,fn,ALTS FOOTNOTE,Texto de rodapé,Nota de rodapé"/>
    <w:basedOn w:val="Normal"/>
    <w:link w:val="TextodenotaderodapChar"/>
    <w:unhideWhenUsed/>
    <w:qFormat/>
    <w:rsid w:val="00160037"/>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160037"/>
    <w:rPr>
      <w:rFonts w:ascii="Times New Roman" w:eastAsia="Times New Roman" w:hAnsi="Times New Roman" w:cs="Times New Roman"/>
      <w:sz w:val="20"/>
      <w:szCs w:val="20"/>
      <w:lang w:eastAsia="pt-BR"/>
    </w:rPr>
  </w:style>
  <w:style w:type="paragraph" w:customStyle="1" w:styleId="Ttulo31">
    <w:name w:val="Título 31"/>
    <w:basedOn w:val="Normal"/>
    <w:next w:val="Normal"/>
    <w:uiPriority w:val="9"/>
    <w:semiHidden/>
    <w:unhideWhenUsed/>
    <w:qFormat/>
    <w:rsid w:val="00160037"/>
    <w:pPr>
      <w:pBdr>
        <w:top w:val="single" w:sz="6" w:space="2" w:color="549E39"/>
      </w:pBdr>
      <w:spacing w:before="300" w:after="0" w:line="276" w:lineRule="auto"/>
      <w:outlineLvl w:val="2"/>
    </w:pPr>
    <w:rPr>
      <w:rFonts w:eastAsia="Times New Roman"/>
      <w:caps/>
      <w:color w:val="294E1C"/>
      <w:spacing w:val="15"/>
      <w:sz w:val="20"/>
      <w:szCs w:val="20"/>
    </w:rPr>
  </w:style>
  <w:style w:type="character" w:styleId="Hyperlink">
    <w:name w:val="Hyperlink"/>
    <w:basedOn w:val="Fontepargpadro"/>
    <w:uiPriority w:val="99"/>
    <w:semiHidden/>
    <w:unhideWhenUsed/>
    <w:rsid w:val="001600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5193</Words>
  <Characters>28043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6</cp:revision>
  <dcterms:created xsi:type="dcterms:W3CDTF">2024-02-29T14:09:00Z</dcterms:created>
  <dcterms:modified xsi:type="dcterms:W3CDTF">2024-06-18T19:25:00Z</dcterms:modified>
</cp:coreProperties>
</file>